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4C8" w:rsidRDefault="00D664C8" w:rsidP="00D664C8">
      <w:pPr>
        <w:pStyle w:val="Heading3"/>
      </w:pPr>
      <w:r>
        <w:t>2/5/2016-6/5</w:t>
      </w:r>
      <w:r>
        <w:t>/2016</w:t>
      </w:r>
    </w:p>
    <w:tbl>
      <w:tblPr>
        <w:tblW w:w="1019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1630"/>
        <w:gridCol w:w="1806"/>
        <w:gridCol w:w="6763"/>
      </w:tblGrid>
      <w:tr w:rsidR="00D664C8" w:rsidTr="00DC4D1F">
        <w:trPr>
          <w:trHeight w:val="488"/>
          <w:tblHeader/>
        </w:trPr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1A335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Currency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1A335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ind w:firstLine="142"/>
              <w:jc w:val="center"/>
            </w:pPr>
            <w:r>
              <w:rPr>
                <w:color w:val="FEFFFF"/>
              </w:rPr>
              <w:t>Fundamental Bias</w:t>
            </w:r>
          </w:p>
        </w:tc>
        <w:tc>
          <w:tcPr>
            <w:tcW w:w="676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1A335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ind w:firstLine="142"/>
            </w:pPr>
            <w:r>
              <w:rPr>
                <w:color w:val="FEFFFF"/>
              </w:rPr>
              <w:t>Remarks</w:t>
            </w:r>
          </w:p>
        </w:tc>
      </w:tr>
      <w:tr w:rsidR="00D664C8" w:rsidTr="00DC4D1F">
        <w:tblPrEx>
          <w:shd w:val="clear" w:color="auto" w:fill="auto"/>
        </w:tblPrEx>
        <w:trPr>
          <w:trHeight w:val="968"/>
        </w:trPr>
        <w:tc>
          <w:tcPr>
            <w:tcW w:w="163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spacing w:line="360" w:lineRule="auto"/>
              <w:jc w:val="center"/>
            </w:pPr>
            <w:r>
              <w:rPr>
                <w:color w:val="FEFFFF"/>
              </w:rPr>
              <w:t>EUR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2"/>
              <w:spacing w:line="360" w:lineRule="auto"/>
              <w:ind w:firstLine="142"/>
              <w:jc w:val="center"/>
            </w:pPr>
            <w:r>
              <w:t>Neutral</w:t>
            </w:r>
          </w:p>
        </w:tc>
        <w:tc>
          <w:tcPr>
            <w:tcW w:w="676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2"/>
              <w:spacing w:line="360" w:lineRule="auto"/>
            </w:pPr>
            <w:r>
              <w:t>There were mixed good and bad figures coming out last week related to CPI and GDP, hence giving EUR a mixed fundamental. But the currency seems weakly bullish early in the new week</w:t>
            </w:r>
          </w:p>
        </w:tc>
      </w:tr>
      <w:tr w:rsidR="00D664C8" w:rsidTr="00DC4D1F">
        <w:tblPrEx>
          <w:shd w:val="clear" w:color="auto" w:fill="auto"/>
        </w:tblPrEx>
        <w:trPr>
          <w:trHeight w:val="965"/>
        </w:trPr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spacing w:line="360" w:lineRule="auto"/>
              <w:jc w:val="center"/>
            </w:pPr>
            <w:r>
              <w:rPr>
                <w:color w:val="FEFFFF"/>
              </w:rPr>
              <w:t>GBP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2"/>
              <w:spacing w:line="360" w:lineRule="auto"/>
            </w:pPr>
            <w:r>
              <w:t xml:space="preserve">         Neutral</w:t>
            </w:r>
          </w:p>
        </w:tc>
        <w:tc>
          <w:tcPr>
            <w:tcW w:w="6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664C8">
            <w:pPr>
              <w:pStyle w:val="TableStyle2"/>
              <w:spacing w:line="360" w:lineRule="auto"/>
            </w:pPr>
            <w:r>
              <w:t>Fu</w:t>
            </w:r>
            <w:r>
              <w:t>ndamentals of UK is somewhat neutral</w:t>
            </w:r>
            <w:r>
              <w:t>. Concern of Brexit is still looming.</w:t>
            </w:r>
            <w:r>
              <w:t xml:space="preserve"> Over the past week, the currency however experienced a rather strong bullish fashion.</w:t>
            </w:r>
          </w:p>
        </w:tc>
      </w:tr>
      <w:tr w:rsidR="00D664C8" w:rsidTr="00DC4D1F">
        <w:tblPrEx>
          <w:shd w:val="clear" w:color="auto" w:fill="auto"/>
        </w:tblPrEx>
        <w:trPr>
          <w:trHeight w:val="965"/>
        </w:trPr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spacing w:line="360" w:lineRule="auto"/>
              <w:jc w:val="center"/>
            </w:pPr>
            <w:r>
              <w:rPr>
                <w:color w:val="FEFFFF"/>
              </w:rPr>
              <w:t>JPY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2"/>
              <w:spacing w:line="360" w:lineRule="auto"/>
              <w:ind w:firstLine="142"/>
              <w:jc w:val="center"/>
            </w:pPr>
            <w:r>
              <w:t>Bearish</w:t>
            </w:r>
          </w:p>
        </w:tc>
        <w:tc>
          <w:tcPr>
            <w:tcW w:w="6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664C8">
            <w:pPr>
              <w:pStyle w:val="TableStyle2"/>
              <w:spacing w:line="360" w:lineRule="auto"/>
            </w:pPr>
            <w:r>
              <w:t>Despite the spike in sentiment for yen, f</w:t>
            </w:r>
            <w:r>
              <w:t>undamentals of Japan are still weak, with BOJ still easing and in ne</w:t>
            </w:r>
            <w:r>
              <w:t>gative interest rates territory.</w:t>
            </w:r>
          </w:p>
        </w:tc>
      </w:tr>
      <w:tr w:rsidR="00D664C8" w:rsidTr="00DC4D1F">
        <w:tblPrEx>
          <w:shd w:val="clear" w:color="auto" w:fill="auto"/>
        </w:tblPrEx>
        <w:trPr>
          <w:trHeight w:val="605"/>
        </w:trPr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spacing w:line="360" w:lineRule="auto"/>
              <w:jc w:val="center"/>
            </w:pPr>
            <w:r>
              <w:rPr>
                <w:color w:val="FEFFFF"/>
              </w:rPr>
              <w:t>USD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2"/>
              <w:spacing w:line="360" w:lineRule="auto"/>
              <w:ind w:firstLine="142"/>
              <w:jc w:val="center"/>
            </w:pPr>
            <w:r>
              <w:t>Bearish</w:t>
            </w:r>
          </w:p>
        </w:tc>
        <w:tc>
          <w:tcPr>
            <w:tcW w:w="6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2722FB">
            <w:pPr>
              <w:pStyle w:val="TableStyle2"/>
              <w:spacing w:line="360" w:lineRule="auto"/>
            </w:pPr>
            <w:r>
              <w:t xml:space="preserve">All </w:t>
            </w:r>
            <w:r>
              <w:t xml:space="preserve">worse-than-expected </w:t>
            </w:r>
            <w:r>
              <w:t xml:space="preserve">inflation-related figures </w:t>
            </w:r>
            <w:r>
              <w:t xml:space="preserve">coupled with rather negative </w:t>
            </w:r>
            <w:r w:rsidR="002722FB">
              <w:t xml:space="preserve">GDP, </w:t>
            </w:r>
            <w:r>
              <w:t>the bearish fundamental trend tend to prolong for a period of time.</w:t>
            </w:r>
          </w:p>
        </w:tc>
      </w:tr>
      <w:tr w:rsidR="00D664C8" w:rsidTr="00DC4D1F">
        <w:tblPrEx>
          <w:shd w:val="clear" w:color="auto" w:fill="auto"/>
        </w:tblPrEx>
        <w:trPr>
          <w:trHeight w:val="965"/>
        </w:trPr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spacing w:line="360" w:lineRule="auto"/>
              <w:jc w:val="center"/>
            </w:pPr>
            <w:r>
              <w:rPr>
                <w:color w:val="FEFFFF"/>
              </w:rPr>
              <w:t>AUD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2722FB" w:rsidP="00DC4D1F">
            <w:pPr>
              <w:pStyle w:val="TableStyle2"/>
              <w:spacing w:line="360" w:lineRule="auto"/>
              <w:ind w:firstLine="142"/>
              <w:jc w:val="center"/>
            </w:pPr>
            <w:r>
              <w:t>Bearish</w:t>
            </w:r>
          </w:p>
        </w:tc>
        <w:tc>
          <w:tcPr>
            <w:tcW w:w="6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2722FB" w:rsidP="00EC2E26">
            <w:pPr>
              <w:pStyle w:val="TableStyle2"/>
              <w:spacing w:line="360" w:lineRule="auto"/>
            </w:pPr>
            <w:r>
              <w:t xml:space="preserve">Inflation was negative and likely to sustain over a period of time. </w:t>
            </w:r>
            <w:r w:rsidR="00D664C8">
              <w:t>Market environment is also shifting towards risk-off sentiment as well.</w:t>
            </w:r>
            <w:r>
              <w:t xml:space="preserve"> </w:t>
            </w:r>
          </w:p>
        </w:tc>
      </w:tr>
      <w:tr w:rsidR="00D664C8" w:rsidTr="00DC4D1F">
        <w:tblPrEx>
          <w:shd w:val="clear" w:color="auto" w:fill="auto"/>
        </w:tblPrEx>
        <w:trPr>
          <w:trHeight w:val="605"/>
        </w:trPr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spacing w:line="360" w:lineRule="auto"/>
              <w:jc w:val="center"/>
            </w:pPr>
            <w:r>
              <w:rPr>
                <w:color w:val="FEFFFF"/>
              </w:rPr>
              <w:t>NZD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2722FB" w:rsidP="00DC4D1F">
            <w:pPr>
              <w:pStyle w:val="TableStyle2"/>
              <w:spacing w:line="360" w:lineRule="auto"/>
              <w:ind w:firstLine="142"/>
              <w:jc w:val="center"/>
            </w:pPr>
            <w:r>
              <w:t>Bullish</w:t>
            </w:r>
          </w:p>
        </w:tc>
        <w:tc>
          <w:tcPr>
            <w:tcW w:w="6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2722FB" w:rsidP="00DC4D1F">
            <w:pPr>
              <w:pStyle w:val="TableStyle2"/>
              <w:spacing w:line="360" w:lineRule="auto"/>
            </w:pPr>
            <w:r>
              <w:t xml:space="preserve">Official cash rate came out same as that of previous month. Fundamentally Kiwi is rather bullish while sentiment is nearing a risk-off environment. </w:t>
            </w:r>
          </w:p>
        </w:tc>
      </w:tr>
      <w:tr w:rsidR="00D664C8" w:rsidTr="00DC4D1F">
        <w:tblPrEx>
          <w:shd w:val="clear" w:color="auto" w:fill="auto"/>
        </w:tblPrEx>
        <w:trPr>
          <w:trHeight w:val="605"/>
        </w:trPr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spacing w:line="360" w:lineRule="auto"/>
              <w:jc w:val="center"/>
            </w:pPr>
            <w:r>
              <w:rPr>
                <w:color w:val="FEFFFF"/>
              </w:rPr>
              <w:t>CAD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2"/>
              <w:spacing w:line="360" w:lineRule="auto"/>
              <w:ind w:firstLine="142"/>
              <w:jc w:val="center"/>
            </w:pPr>
            <w:r>
              <w:t>Bullish</w:t>
            </w:r>
          </w:p>
        </w:tc>
        <w:tc>
          <w:tcPr>
            <w:tcW w:w="6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2"/>
              <w:spacing w:line="360" w:lineRule="auto"/>
            </w:pPr>
            <w:r>
              <w:t>BOC rate statement report came out with a rather hawkish tone overall. Economic conditions are going as expected.</w:t>
            </w:r>
          </w:p>
        </w:tc>
      </w:tr>
    </w:tbl>
    <w:p w:rsidR="00D664C8" w:rsidRDefault="00D664C8" w:rsidP="00D664C8">
      <w:pPr>
        <w:pStyle w:val="Body"/>
      </w:pPr>
    </w:p>
    <w:p w:rsidR="00D664C8" w:rsidRDefault="00D664C8" w:rsidP="00D664C8">
      <w:pPr>
        <w:pStyle w:val="Body"/>
        <w:rPr>
          <w:b/>
          <w:bCs/>
          <w:u w:val="single"/>
        </w:rPr>
      </w:pPr>
    </w:p>
    <w:p w:rsidR="00D664C8" w:rsidRDefault="00D664C8" w:rsidP="00D664C8">
      <w:pPr>
        <w:pStyle w:val="Body"/>
        <w:rPr>
          <w:b/>
          <w:bCs/>
          <w:u w:val="single"/>
        </w:rPr>
      </w:pPr>
      <w:r>
        <w:rPr>
          <w:b/>
          <w:bCs/>
          <w:u w:val="single"/>
          <w:lang w:val="en-US"/>
        </w:rPr>
        <w:t>CURRENCY NEWS ANALYSIS</w:t>
      </w:r>
    </w:p>
    <w:p w:rsidR="00D664C8" w:rsidRDefault="00D664C8" w:rsidP="00D664C8">
      <w:pPr>
        <w:pStyle w:val="Body"/>
      </w:pPr>
    </w:p>
    <w:tbl>
      <w:tblPr>
        <w:tblW w:w="1019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2300"/>
        <w:gridCol w:w="7899"/>
      </w:tblGrid>
      <w:tr w:rsidR="00D664C8" w:rsidTr="00DC4D1F">
        <w:trPr>
          <w:trHeight w:val="279"/>
          <w:tblHeader/>
        </w:trPr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1A335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Currency</w:t>
            </w:r>
          </w:p>
        </w:tc>
        <w:tc>
          <w:tcPr>
            <w:tcW w:w="789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1A335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ind w:firstLine="142"/>
            </w:pPr>
            <w:r>
              <w:rPr>
                <w:color w:val="FEFFFF"/>
              </w:rPr>
              <w:t>Key Risk Events</w:t>
            </w:r>
          </w:p>
        </w:tc>
      </w:tr>
      <w:tr w:rsidR="00D664C8" w:rsidTr="00DC4D1F">
        <w:tblPrEx>
          <w:shd w:val="clear" w:color="auto" w:fill="auto"/>
        </w:tblPrEx>
        <w:trPr>
          <w:trHeight w:val="279"/>
        </w:trPr>
        <w:tc>
          <w:tcPr>
            <w:tcW w:w="23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EUR</w:t>
            </w: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EC2E26" w:rsidP="00DC4D1F">
            <w:pPr>
              <w:pStyle w:val="TableStyle2"/>
            </w:pPr>
            <w:r>
              <w:t xml:space="preserve">Draghi speaks; </w:t>
            </w:r>
          </w:p>
        </w:tc>
      </w:tr>
      <w:tr w:rsidR="00D664C8" w:rsidTr="00DC4D1F">
        <w:tblPrEx>
          <w:shd w:val="clear" w:color="auto" w:fill="auto"/>
        </w:tblPrEx>
        <w:trPr>
          <w:trHeight w:val="279"/>
        </w:trPr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GBP</w:t>
            </w:r>
          </w:p>
        </w:tc>
        <w:tc>
          <w:tcPr>
            <w:tcW w:w="789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EC2E26" w:rsidP="00DC4D1F">
            <w:pPr>
              <w:pStyle w:val="TableStyle2"/>
              <w:ind w:firstLine="142"/>
            </w:pPr>
            <w:r>
              <w:t>Service and construction PMI</w:t>
            </w:r>
          </w:p>
        </w:tc>
      </w:tr>
      <w:tr w:rsidR="00D664C8" w:rsidTr="00DC4D1F">
        <w:tblPrEx>
          <w:shd w:val="clear" w:color="auto" w:fill="auto"/>
        </w:tblPrEx>
        <w:trPr>
          <w:trHeight w:val="279"/>
        </w:trPr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JPY</w:t>
            </w:r>
          </w:p>
        </w:tc>
        <w:tc>
          <w:tcPr>
            <w:tcW w:w="789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2"/>
              <w:ind w:firstLine="142"/>
            </w:pPr>
            <w:r>
              <w:t>N/A</w:t>
            </w:r>
          </w:p>
        </w:tc>
      </w:tr>
      <w:tr w:rsidR="00D664C8" w:rsidTr="00DC4D1F">
        <w:tblPrEx>
          <w:shd w:val="clear" w:color="auto" w:fill="auto"/>
        </w:tblPrEx>
        <w:trPr>
          <w:trHeight w:val="279"/>
        </w:trPr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USD</w:t>
            </w:r>
          </w:p>
        </w:tc>
        <w:tc>
          <w:tcPr>
            <w:tcW w:w="789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EC2E26" w:rsidP="00DC4D1F">
            <w:pPr>
              <w:pStyle w:val="TableStyle2"/>
              <w:ind w:firstLine="142"/>
            </w:pPr>
            <w:r>
              <w:t>Manufacturing PMI; NFEC; unemployment change</w:t>
            </w:r>
          </w:p>
        </w:tc>
      </w:tr>
      <w:tr w:rsidR="00D664C8" w:rsidTr="00DC4D1F">
        <w:tblPrEx>
          <w:shd w:val="clear" w:color="auto" w:fill="auto"/>
        </w:tblPrEx>
        <w:trPr>
          <w:trHeight w:val="279"/>
        </w:trPr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AUD</w:t>
            </w:r>
          </w:p>
        </w:tc>
        <w:tc>
          <w:tcPr>
            <w:tcW w:w="789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EC2E26" w:rsidP="00DC4D1F">
            <w:pPr>
              <w:pStyle w:val="TableStyle2"/>
            </w:pPr>
            <w:r>
              <w:t>Bank cash rate; trade balance, policy statement</w:t>
            </w:r>
          </w:p>
        </w:tc>
      </w:tr>
      <w:tr w:rsidR="00D664C8" w:rsidTr="00DC4D1F">
        <w:tblPrEx>
          <w:shd w:val="clear" w:color="auto" w:fill="auto"/>
        </w:tblPrEx>
        <w:trPr>
          <w:trHeight w:val="279"/>
        </w:trPr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NZD</w:t>
            </w:r>
          </w:p>
        </w:tc>
        <w:tc>
          <w:tcPr>
            <w:tcW w:w="789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EC2E26" w:rsidP="00DC4D1F">
            <w:pPr>
              <w:pStyle w:val="TableStyle2"/>
              <w:ind w:firstLine="142"/>
            </w:pPr>
            <w:r>
              <w:t>GDT</w:t>
            </w:r>
          </w:p>
        </w:tc>
      </w:tr>
      <w:tr w:rsidR="00D664C8" w:rsidTr="00DC4D1F">
        <w:tblPrEx>
          <w:shd w:val="clear" w:color="auto" w:fill="auto"/>
        </w:tblPrEx>
        <w:trPr>
          <w:trHeight w:val="279"/>
        </w:trPr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CAD</w:t>
            </w:r>
          </w:p>
        </w:tc>
        <w:tc>
          <w:tcPr>
            <w:tcW w:w="789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EC2E26" w:rsidP="00DC4D1F">
            <w:pPr>
              <w:pStyle w:val="TableStyle2"/>
              <w:ind w:firstLine="142"/>
            </w:pPr>
            <w:r>
              <w:t xml:space="preserve">Trade balance, employment change, unemployment rate. </w:t>
            </w:r>
          </w:p>
        </w:tc>
      </w:tr>
    </w:tbl>
    <w:p w:rsidR="00D664C8" w:rsidRDefault="00D664C8" w:rsidP="00D664C8">
      <w:pPr>
        <w:pStyle w:val="Body"/>
      </w:pPr>
      <w:r>
        <w:rPr>
          <w:rFonts w:ascii="Arial Unicode MS" w:eastAsia="Arial Unicode MS" w:hAnsi="Arial Unicode MS" w:cs="Arial Unicode MS"/>
        </w:rPr>
        <w:br w:type="page"/>
      </w:r>
    </w:p>
    <w:p w:rsidR="00D664C8" w:rsidRDefault="00D664C8" w:rsidP="00D664C8">
      <w:pPr>
        <w:pStyle w:val="Body"/>
        <w:rPr>
          <w:b/>
          <w:bCs/>
          <w:u w:val="single"/>
        </w:rPr>
      </w:pPr>
      <w:r>
        <w:rPr>
          <w:b/>
          <w:bCs/>
          <w:u w:val="single"/>
          <w:lang w:val="en-US"/>
        </w:rPr>
        <w:lastRenderedPageBreak/>
        <w:t>CENTRAL BANK SUMMARY</w:t>
      </w:r>
    </w:p>
    <w:p w:rsidR="00D664C8" w:rsidRDefault="00D664C8" w:rsidP="00D664C8">
      <w:pPr>
        <w:pStyle w:val="Body"/>
      </w:pPr>
    </w:p>
    <w:tbl>
      <w:tblPr>
        <w:tblW w:w="4842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1812"/>
        <w:gridCol w:w="3030"/>
      </w:tblGrid>
      <w:tr w:rsidR="00D664C8" w:rsidTr="00DC4D1F">
        <w:trPr>
          <w:trHeight w:val="279"/>
          <w:tblHeader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1A335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Bank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1A335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Fundamental Bias</w:t>
            </w:r>
          </w:p>
        </w:tc>
      </w:tr>
      <w:tr w:rsidR="00D664C8" w:rsidTr="00DC4D1F">
        <w:tblPrEx>
          <w:shd w:val="clear" w:color="auto" w:fill="auto"/>
        </w:tblPrEx>
        <w:trPr>
          <w:trHeight w:val="279"/>
        </w:trPr>
        <w:tc>
          <w:tcPr>
            <w:tcW w:w="181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FED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2"/>
              <w:jc w:val="center"/>
            </w:pPr>
            <w:r>
              <w:t>Weak Bearish</w:t>
            </w:r>
          </w:p>
        </w:tc>
      </w:tr>
      <w:tr w:rsidR="00D664C8" w:rsidTr="00DC4D1F">
        <w:tblPrEx>
          <w:shd w:val="clear" w:color="auto" w:fill="auto"/>
        </w:tblPrEx>
        <w:trPr>
          <w:trHeight w:val="279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ECB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2"/>
              <w:jc w:val="center"/>
            </w:pPr>
            <w:r>
              <w:t>Bearish</w:t>
            </w:r>
          </w:p>
        </w:tc>
      </w:tr>
      <w:tr w:rsidR="00D664C8" w:rsidTr="00DC4D1F">
        <w:tblPrEx>
          <w:shd w:val="clear" w:color="auto" w:fill="auto"/>
        </w:tblPrEx>
        <w:trPr>
          <w:trHeight w:val="279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BOE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2"/>
              <w:jc w:val="center"/>
            </w:pPr>
            <w:r>
              <w:t>Weak Bullish</w:t>
            </w:r>
          </w:p>
        </w:tc>
      </w:tr>
      <w:tr w:rsidR="00D664C8" w:rsidTr="00DC4D1F">
        <w:tblPrEx>
          <w:shd w:val="clear" w:color="auto" w:fill="auto"/>
        </w:tblPrEx>
        <w:trPr>
          <w:trHeight w:val="279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BOJ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2"/>
              <w:jc w:val="center"/>
            </w:pPr>
            <w:r>
              <w:t>Strong Bearish</w:t>
            </w:r>
          </w:p>
        </w:tc>
      </w:tr>
    </w:tbl>
    <w:p w:rsidR="00D664C8" w:rsidRDefault="00D664C8" w:rsidP="00D664C8"/>
    <w:tbl>
      <w:tblPr>
        <w:tblW w:w="4842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1812"/>
        <w:gridCol w:w="3030"/>
      </w:tblGrid>
      <w:tr w:rsidR="00D664C8" w:rsidTr="00DC4D1F">
        <w:trPr>
          <w:trHeight w:val="279"/>
          <w:tblHeader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1A335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Bank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1A335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Fundamental Bias</w:t>
            </w:r>
          </w:p>
        </w:tc>
      </w:tr>
      <w:tr w:rsidR="00D664C8" w:rsidTr="00DC4D1F">
        <w:tblPrEx>
          <w:shd w:val="clear" w:color="auto" w:fill="auto"/>
        </w:tblPrEx>
        <w:trPr>
          <w:trHeight w:val="279"/>
        </w:trPr>
        <w:tc>
          <w:tcPr>
            <w:tcW w:w="181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RBA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2"/>
              <w:jc w:val="center"/>
            </w:pPr>
            <w:r>
              <w:t>Weak Bearish</w:t>
            </w:r>
          </w:p>
        </w:tc>
      </w:tr>
      <w:tr w:rsidR="00D664C8" w:rsidTr="00DC4D1F">
        <w:tblPrEx>
          <w:shd w:val="clear" w:color="auto" w:fill="auto"/>
        </w:tblPrEx>
        <w:trPr>
          <w:trHeight w:val="279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RBNZ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EC2E26" w:rsidP="00DC4D1F">
            <w:pPr>
              <w:pStyle w:val="TableStyle2"/>
              <w:jc w:val="center"/>
            </w:pPr>
            <w:r>
              <w:t xml:space="preserve"> Weak bullish</w:t>
            </w:r>
            <w:bookmarkStart w:id="0" w:name="_GoBack"/>
            <w:bookmarkEnd w:id="0"/>
          </w:p>
        </w:tc>
      </w:tr>
      <w:tr w:rsidR="00D664C8" w:rsidTr="00DC4D1F">
        <w:tblPrEx>
          <w:shd w:val="clear" w:color="auto" w:fill="auto"/>
        </w:tblPrEx>
        <w:trPr>
          <w:trHeight w:val="279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BOC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2"/>
              <w:jc w:val="center"/>
            </w:pPr>
            <w:r>
              <w:t>Bullish</w:t>
            </w:r>
          </w:p>
        </w:tc>
      </w:tr>
      <w:tr w:rsidR="00D664C8" w:rsidTr="00DC4D1F">
        <w:tblPrEx>
          <w:shd w:val="clear" w:color="auto" w:fill="auto"/>
        </w:tblPrEx>
        <w:trPr>
          <w:trHeight w:val="279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1"/>
              <w:jc w:val="center"/>
            </w:pPr>
            <w:r>
              <w:rPr>
                <w:color w:val="FEFFFF"/>
              </w:rPr>
              <w:t>SNB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664C8" w:rsidRDefault="00D664C8" w:rsidP="00DC4D1F">
            <w:pPr>
              <w:pStyle w:val="TableStyle2"/>
              <w:jc w:val="center"/>
            </w:pPr>
            <w:r>
              <w:t>Neutral</w:t>
            </w:r>
          </w:p>
        </w:tc>
      </w:tr>
    </w:tbl>
    <w:p w:rsidR="00D664C8" w:rsidRDefault="00D664C8" w:rsidP="00D664C8"/>
    <w:p w:rsidR="005C358B" w:rsidRDefault="005C358B"/>
    <w:sectPr w:rsidR="005C35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4C8"/>
    <w:rsid w:val="002722FB"/>
    <w:rsid w:val="005C358B"/>
    <w:rsid w:val="00D664C8"/>
    <w:rsid w:val="00EC2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14C0FE-553A-42EB-BBB2-7982ECD55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664C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3">
    <w:name w:val="heading 3"/>
    <w:next w:val="Body"/>
    <w:link w:val="Heading3Char"/>
    <w:rsid w:val="00D664C8"/>
    <w:pPr>
      <w:keepNext/>
      <w:pBdr>
        <w:top w:val="single" w:sz="4" w:space="0" w:color="515151"/>
        <w:left w:val="nil"/>
        <w:bottom w:val="nil"/>
        <w:right w:val="nil"/>
        <w:between w:val="nil"/>
        <w:bar w:val="nil"/>
      </w:pBdr>
      <w:spacing w:after="40" w:line="288" w:lineRule="auto"/>
      <w:outlineLvl w:val="2"/>
    </w:pPr>
    <w:rPr>
      <w:rFonts w:ascii="Helvetica" w:eastAsia="Arial Unicode MS" w:hAnsi="Helvetica" w:cs="Arial Unicode MS"/>
      <w:b/>
      <w:bCs/>
      <w:color w:val="000000"/>
      <w:spacing w:val="5"/>
      <w:sz w:val="28"/>
      <w:szCs w:val="28"/>
      <w:bdr w:val="nil"/>
      <w:lang w:val="en-US" w:eastAsia="en-S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D664C8"/>
    <w:rPr>
      <w:rFonts w:ascii="Helvetica" w:eastAsia="Arial Unicode MS" w:hAnsi="Helvetica" w:cs="Arial Unicode MS"/>
      <w:b/>
      <w:bCs/>
      <w:color w:val="000000"/>
      <w:spacing w:val="5"/>
      <w:sz w:val="28"/>
      <w:szCs w:val="28"/>
      <w:bdr w:val="nil"/>
      <w:lang w:val="en-US" w:eastAsia="en-SG"/>
    </w:rPr>
  </w:style>
  <w:style w:type="paragraph" w:customStyle="1" w:styleId="Body">
    <w:name w:val="Body"/>
    <w:rsid w:val="00D664C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bdr w:val="nil"/>
      <w:lang w:eastAsia="en-SG"/>
    </w:rPr>
  </w:style>
  <w:style w:type="paragraph" w:customStyle="1" w:styleId="TableStyle1">
    <w:name w:val="Table Style 1"/>
    <w:rsid w:val="00D664C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b/>
      <w:bCs/>
      <w:color w:val="000000"/>
      <w:sz w:val="20"/>
      <w:szCs w:val="20"/>
      <w:bdr w:val="nil"/>
      <w:lang w:eastAsia="en-SG"/>
    </w:rPr>
  </w:style>
  <w:style w:type="paragraph" w:customStyle="1" w:styleId="TableStyle2">
    <w:name w:val="Table Style 2"/>
    <w:rsid w:val="00D664C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  <w:lang w:eastAsia="en-S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DOAN THANH</dc:creator>
  <cp:keywords/>
  <dc:description/>
  <cp:lastModifiedBy>DOAN THANH</cp:lastModifiedBy>
  <cp:revision>1</cp:revision>
  <dcterms:created xsi:type="dcterms:W3CDTF">2016-05-02T03:21:00Z</dcterms:created>
  <dcterms:modified xsi:type="dcterms:W3CDTF">2016-05-02T03:48:00Z</dcterms:modified>
</cp:coreProperties>
</file>