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591" w:rsidRDefault="00F31F68" w:rsidP="00E63591">
      <w:pPr>
        <w:pStyle w:val="Heading3"/>
      </w:pPr>
      <w:r>
        <w:t>18/4/2016-22/4/2016</w:t>
      </w:r>
    </w:p>
    <w:tbl>
      <w:tblPr>
        <w:tblW w:w="1019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630"/>
        <w:gridCol w:w="1806"/>
        <w:gridCol w:w="6763"/>
      </w:tblGrid>
      <w:tr w:rsidR="00E63591" w:rsidTr="002B4EA4">
        <w:trPr>
          <w:trHeight w:val="488"/>
          <w:tblHeader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Currency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ind w:firstLine="142"/>
              <w:jc w:val="center"/>
            </w:pPr>
            <w:r>
              <w:rPr>
                <w:color w:val="FEFFFF"/>
              </w:rPr>
              <w:t>Fundamental Bias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ind w:firstLine="142"/>
            </w:pPr>
            <w:r>
              <w:rPr>
                <w:color w:val="FEFFFF"/>
              </w:rPr>
              <w:t>Remarks</w:t>
            </w:r>
          </w:p>
        </w:tc>
      </w:tr>
      <w:tr w:rsidR="00E63591" w:rsidTr="002B4EA4">
        <w:tblPrEx>
          <w:shd w:val="clear" w:color="auto" w:fill="auto"/>
        </w:tblPrEx>
        <w:trPr>
          <w:trHeight w:val="968"/>
        </w:trPr>
        <w:tc>
          <w:tcPr>
            <w:tcW w:w="163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EUR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Neutral</w:t>
            </w:r>
          </w:p>
        </w:tc>
        <w:tc>
          <w:tcPr>
            <w:tcW w:w="67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spacing w:line="360" w:lineRule="auto"/>
            </w:pPr>
            <w:r>
              <w:t>No clear bias. There wasn’t any tier 1 risk event last week. Overall fundamentals of Euro is still weak, but Draghi last month comments provided some bullish sentiment.</w:t>
            </w:r>
          </w:p>
        </w:tc>
      </w:tr>
      <w:tr w:rsidR="00E63591" w:rsidTr="002B4EA4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GBP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F31F68" w:rsidP="00F31F68">
            <w:pPr>
              <w:pStyle w:val="TableStyle2"/>
              <w:spacing w:line="360" w:lineRule="auto"/>
            </w:pPr>
            <w:r>
              <w:t xml:space="preserve">         Neutral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F31F68" w:rsidP="00F31F68">
            <w:pPr>
              <w:pStyle w:val="TableStyle2"/>
              <w:spacing w:line="360" w:lineRule="auto"/>
            </w:pPr>
            <w:r>
              <w:t>Fundamentals of UK is rather mixed with bearish and bullish statements</w:t>
            </w:r>
            <w:r w:rsidR="00E63591">
              <w:t>. Concern of Brexit is still looming.</w:t>
            </w:r>
            <w:r>
              <w:t xml:space="preserve"> Bank maintains interest rate might show current economic situation is as expected.</w:t>
            </w:r>
          </w:p>
        </w:tc>
      </w:tr>
      <w:tr w:rsidR="00E63591" w:rsidTr="002B4EA4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JPY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B5622E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Bearish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B5622E">
            <w:pPr>
              <w:pStyle w:val="TableStyle2"/>
              <w:spacing w:line="360" w:lineRule="auto"/>
            </w:pPr>
            <w:r>
              <w:t>Fundamentals of Japan are still weak, with BOJ still easing and in negative interest rates territory.</w:t>
            </w:r>
            <w:r w:rsidR="00B5622E">
              <w:t xml:space="preserve"> Since BOJ Kuroda spoke, JPY fell slightly over the past week</w:t>
            </w:r>
            <w:r w:rsidR="0096399A">
              <w:t>, in probably in part to the earthquake occurring recently.</w:t>
            </w:r>
          </w:p>
        </w:tc>
      </w:tr>
      <w:tr w:rsidR="00E63591" w:rsidTr="002B4EA4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USD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B5622E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Bearish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B5622E" w:rsidP="00B5622E">
            <w:pPr>
              <w:pStyle w:val="TableStyle2"/>
              <w:spacing w:line="360" w:lineRule="auto"/>
            </w:pPr>
            <w:r>
              <w:t>All inflation-related figures were worse than expected and thus the bearish fundamental trend tend to prolong for a period of time.</w:t>
            </w:r>
          </w:p>
        </w:tc>
      </w:tr>
      <w:tr w:rsidR="00E63591" w:rsidTr="002B4EA4">
        <w:tblPrEx>
          <w:shd w:val="clear" w:color="auto" w:fill="auto"/>
        </w:tblPrEx>
        <w:trPr>
          <w:trHeight w:val="96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AUD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B5622E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Bullish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B5622E" w:rsidP="002B4EA4">
            <w:pPr>
              <w:pStyle w:val="TableStyle2"/>
              <w:spacing w:line="360" w:lineRule="auto"/>
            </w:pPr>
            <w:r>
              <w:t xml:space="preserve">Data </w:t>
            </w:r>
            <w:r w:rsidR="00E63591">
              <w:t xml:space="preserve">released </w:t>
            </w:r>
            <w:r>
              <w:t xml:space="preserve">regarding employment </w:t>
            </w:r>
            <w:r w:rsidR="00E63591">
              <w:t xml:space="preserve">last week were </w:t>
            </w:r>
            <w:r>
              <w:t>generally positive</w:t>
            </w:r>
            <w:r w:rsidR="00E63591">
              <w:t>. RBA Rate Statement shifted slightly towards dovish. Market environment is also shifting towards risk-off sentiment as well.</w:t>
            </w:r>
          </w:p>
        </w:tc>
      </w:tr>
      <w:tr w:rsidR="00E63591" w:rsidTr="002B4EA4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NZD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Neutral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B5622E">
            <w:pPr>
              <w:pStyle w:val="TableStyle2"/>
              <w:spacing w:line="360" w:lineRule="auto"/>
            </w:pPr>
            <w:r>
              <w:t xml:space="preserve">No clear bias. </w:t>
            </w:r>
          </w:p>
        </w:tc>
      </w:tr>
      <w:tr w:rsidR="00E63591" w:rsidTr="002B4EA4">
        <w:tblPrEx>
          <w:shd w:val="clear" w:color="auto" w:fill="auto"/>
        </w:tblPrEx>
        <w:trPr>
          <w:trHeight w:val="605"/>
        </w:trPr>
        <w:tc>
          <w:tcPr>
            <w:tcW w:w="1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spacing w:line="360" w:lineRule="auto"/>
              <w:jc w:val="center"/>
            </w:pPr>
            <w:r>
              <w:rPr>
                <w:color w:val="FEFFFF"/>
              </w:rPr>
              <w:t>CAD</w:t>
            </w:r>
          </w:p>
        </w:tc>
        <w:tc>
          <w:tcPr>
            <w:tcW w:w="180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spacing w:line="360" w:lineRule="auto"/>
              <w:ind w:firstLine="142"/>
              <w:jc w:val="center"/>
            </w:pPr>
            <w:r>
              <w:t>Bullish</w:t>
            </w:r>
          </w:p>
        </w:tc>
        <w:tc>
          <w:tcPr>
            <w:tcW w:w="6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96399A" w:rsidP="002B4EA4">
            <w:pPr>
              <w:pStyle w:val="TableStyle2"/>
              <w:spacing w:line="360" w:lineRule="auto"/>
            </w:pPr>
            <w:r>
              <w:t>BOC rate statement report came out with a rather hawkish tone overall. Economic conditions are going as expected.</w:t>
            </w:r>
          </w:p>
        </w:tc>
      </w:tr>
    </w:tbl>
    <w:p w:rsidR="00E63591" w:rsidRDefault="00E63591" w:rsidP="00E63591">
      <w:pPr>
        <w:pStyle w:val="Body"/>
      </w:pPr>
    </w:p>
    <w:p w:rsidR="00E63591" w:rsidRDefault="00E63591" w:rsidP="00E63591">
      <w:pPr>
        <w:pStyle w:val="Body"/>
        <w:rPr>
          <w:b/>
          <w:bCs/>
          <w:u w:val="single"/>
        </w:rPr>
      </w:pPr>
    </w:p>
    <w:p w:rsidR="00E63591" w:rsidRDefault="00E63591" w:rsidP="00E63591">
      <w:pPr>
        <w:pStyle w:val="Body"/>
        <w:rPr>
          <w:b/>
          <w:bCs/>
          <w:u w:val="single"/>
        </w:rPr>
      </w:pPr>
      <w:r>
        <w:rPr>
          <w:b/>
          <w:bCs/>
          <w:u w:val="single"/>
          <w:lang w:val="en-US"/>
        </w:rPr>
        <w:t>CURRENCY NEWS ANALYSIS</w:t>
      </w:r>
    </w:p>
    <w:p w:rsidR="00E63591" w:rsidRDefault="00E63591" w:rsidP="00E63591">
      <w:pPr>
        <w:pStyle w:val="Body"/>
      </w:pPr>
    </w:p>
    <w:tbl>
      <w:tblPr>
        <w:tblW w:w="1019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2300"/>
        <w:gridCol w:w="7899"/>
      </w:tblGrid>
      <w:tr w:rsidR="00E63591" w:rsidTr="002B4EA4">
        <w:trPr>
          <w:trHeight w:val="279"/>
          <w:tblHeader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Currency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ind w:firstLine="142"/>
            </w:pPr>
            <w:r>
              <w:rPr>
                <w:color w:val="FEFFFF"/>
              </w:rPr>
              <w:t>Key Risk Events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EUR</w:t>
            </w:r>
          </w:p>
        </w:tc>
        <w:tc>
          <w:tcPr>
            <w:tcW w:w="789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2A2043" w:rsidP="0096399A">
            <w:pPr>
              <w:pStyle w:val="TableStyle2"/>
            </w:pPr>
            <w:r>
              <w:t xml:space="preserve">Minimum bid rate; </w:t>
            </w:r>
            <w:r w:rsidR="0096399A">
              <w:t>German economic sentiment; press conference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GBP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96399A" w:rsidP="002B4EA4">
            <w:pPr>
              <w:pStyle w:val="TableStyle2"/>
              <w:ind w:firstLine="142"/>
            </w:pPr>
            <w:r>
              <w:t>BOE Carney speaks</w:t>
            </w:r>
            <w:r w:rsidR="002A2043">
              <w:t>; claimant count change</w:t>
            </w:r>
            <w:bookmarkStart w:id="0" w:name="_GoBack"/>
            <w:bookmarkEnd w:id="0"/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JPY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ind w:firstLine="142"/>
            </w:pPr>
            <w:r>
              <w:t>N/A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USD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96399A" w:rsidP="002B4EA4">
            <w:pPr>
              <w:pStyle w:val="TableStyle2"/>
              <w:ind w:firstLine="142"/>
            </w:pPr>
            <w:r>
              <w:t>N/A (building permits?)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AUD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96399A" w:rsidP="0096399A">
            <w:pPr>
              <w:pStyle w:val="TableStyle2"/>
            </w:pPr>
            <w:r>
              <w:t xml:space="preserve">   Monetary policy meeting?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NZD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96399A" w:rsidP="002B4EA4">
            <w:pPr>
              <w:pStyle w:val="TableStyle2"/>
              <w:ind w:firstLine="142"/>
            </w:pPr>
            <w:r>
              <w:t>CPI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CAD</w:t>
            </w:r>
          </w:p>
        </w:tc>
        <w:tc>
          <w:tcPr>
            <w:tcW w:w="789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ind w:firstLine="142"/>
            </w:pPr>
            <w:r>
              <w:t>BOC</w:t>
            </w:r>
            <w:r w:rsidR="0096399A">
              <w:t xml:space="preserve"> </w:t>
            </w:r>
            <w:proofErr w:type="spellStart"/>
            <w:r w:rsidR="0096399A">
              <w:t>Poloz</w:t>
            </w:r>
            <w:proofErr w:type="spellEnd"/>
            <w:r w:rsidR="0096399A">
              <w:t xml:space="preserve"> speaks; core retail sales, CPI</w:t>
            </w:r>
          </w:p>
        </w:tc>
      </w:tr>
    </w:tbl>
    <w:p w:rsidR="00E63591" w:rsidRDefault="00E63591" w:rsidP="00E63591">
      <w:pPr>
        <w:pStyle w:val="Body"/>
      </w:pPr>
      <w:r>
        <w:rPr>
          <w:rFonts w:ascii="Arial Unicode MS" w:eastAsia="Arial Unicode MS" w:hAnsi="Arial Unicode MS" w:cs="Arial Unicode MS"/>
        </w:rPr>
        <w:br w:type="page"/>
      </w:r>
    </w:p>
    <w:p w:rsidR="00E63591" w:rsidRDefault="00E63591" w:rsidP="00E63591">
      <w:pPr>
        <w:pStyle w:val="Body"/>
        <w:rPr>
          <w:b/>
          <w:bCs/>
          <w:u w:val="single"/>
        </w:rPr>
      </w:pPr>
      <w:r>
        <w:rPr>
          <w:b/>
          <w:bCs/>
          <w:u w:val="single"/>
          <w:lang w:val="en-US"/>
        </w:rPr>
        <w:lastRenderedPageBreak/>
        <w:t>CENTRAL BANK SUMMARY</w:t>
      </w:r>
    </w:p>
    <w:p w:rsidR="00E63591" w:rsidRDefault="00E63591" w:rsidP="00E63591">
      <w:pPr>
        <w:pStyle w:val="Body"/>
      </w:pPr>
    </w:p>
    <w:tbl>
      <w:tblPr>
        <w:tblW w:w="484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812"/>
        <w:gridCol w:w="3030"/>
      </w:tblGrid>
      <w:tr w:rsidR="00E63591" w:rsidTr="002B4EA4">
        <w:trPr>
          <w:trHeight w:val="279"/>
          <w:tblHeader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Bank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Fundamental Bias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FED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Weak Bearish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ECB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Bearish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BOE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Weak Bullish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BOJ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Strong Bearish</w:t>
            </w:r>
          </w:p>
        </w:tc>
      </w:tr>
    </w:tbl>
    <w:p w:rsidR="004A1A41" w:rsidRDefault="004A1A41"/>
    <w:tbl>
      <w:tblPr>
        <w:tblW w:w="4842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812"/>
        <w:gridCol w:w="3030"/>
      </w:tblGrid>
      <w:tr w:rsidR="00E63591" w:rsidTr="002B4EA4">
        <w:trPr>
          <w:trHeight w:val="279"/>
          <w:tblHeader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Bank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1A335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Fundamental Bias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RBA</w:t>
            </w:r>
          </w:p>
        </w:tc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Weak Bearish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RBNZ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 xml:space="preserve"> Bearish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BOC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Bullish</w:t>
            </w:r>
          </w:p>
        </w:tc>
      </w:tr>
      <w:tr w:rsidR="00E63591" w:rsidTr="002B4EA4">
        <w:tblPrEx>
          <w:shd w:val="clear" w:color="auto" w:fill="auto"/>
        </w:tblPrEx>
        <w:trPr>
          <w:trHeight w:val="27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47B0D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1"/>
              <w:jc w:val="center"/>
            </w:pPr>
            <w:r>
              <w:rPr>
                <w:color w:val="FEFFFF"/>
              </w:rPr>
              <w:t>SNB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63591" w:rsidRDefault="00E63591" w:rsidP="002B4EA4">
            <w:pPr>
              <w:pStyle w:val="TableStyle2"/>
              <w:jc w:val="center"/>
            </w:pPr>
            <w:r>
              <w:t>Neutral</w:t>
            </w:r>
          </w:p>
        </w:tc>
      </w:tr>
    </w:tbl>
    <w:p w:rsidR="00E63591" w:rsidRDefault="00E63591"/>
    <w:sectPr w:rsidR="00E63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91"/>
    <w:rsid w:val="002A2043"/>
    <w:rsid w:val="004A1A41"/>
    <w:rsid w:val="0096399A"/>
    <w:rsid w:val="00B5622E"/>
    <w:rsid w:val="00E63591"/>
    <w:rsid w:val="00F3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8EA575-73B8-4798-9C75-3057CDBF9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35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3">
    <w:name w:val="heading 3"/>
    <w:next w:val="Body"/>
    <w:link w:val="Heading3Char"/>
    <w:rsid w:val="00E63591"/>
    <w:pPr>
      <w:keepNext/>
      <w:pBdr>
        <w:top w:val="single" w:sz="4" w:space="0" w:color="515151"/>
        <w:left w:val="nil"/>
        <w:bottom w:val="nil"/>
        <w:right w:val="nil"/>
        <w:between w:val="nil"/>
        <w:bar w:val="nil"/>
      </w:pBdr>
      <w:spacing w:after="40" w:line="288" w:lineRule="auto"/>
      <w:outlineLvl w:val="2"/>
    </w:pPr>
    <w:rPr>
      <w:rFonts w:ascii="Helvetica" w:eastAsia="Arial Unicode MS" w:hAnsi="Helvetica" w:cs="Arial Unicode MS"/>
      <w:b/>
      <w:bCs/>
      <w:color w:val="000000"/>
      <w:spacing w:val="5"/>
      <w:sz w:val="28"/>
      <w:szCs w:val="28"/>
      <w:bdr w:val="nil"/>
      <w:lang w:val="en-US" w:eastAsia="en-S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E635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bdr w:val="nil"/>
      <w:lang w:eastAsia="en-SG"/>
    </w:rPr>
  </w:style>
  <w:style w:type="paragraph" w:customStyle="1" w:styleId="TableStyle1">
    <w:name w:val="Table Style 1"/>
    <w:rsid w:val="00E635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b/>
      <w:bCs/>
      <w:color w:val="000000"/>
      <w:sz w:val="20"/>
      <w:szCs w:val="20"/>
      <w:bdr w:val="nil"/>
      <w:lang w:eastAsia="en-SG"/>
    </w:rPr>
  </w:style>
  <w:style w:type="paragraph" w:customStyle="1" w:styleId="TableStyle2">
    <w:name w:val="Table Style 2"/>
    <w:rsid w:val="00E635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  <w:lang w:eastAsia="en-SG"/>
    </w:rPr>
  </w:style>
  <w:style w:type="character" w:customStyle="1" w:styleId="Heading3Char">
    <w:name w:val="Heading 3 Char"/>
    <w:basedOn w:val="DefaultParagraphFont"/>
    <w:link w:val="Heading3"/>
    <w:rsid w:val="00E63591"/>
    <w:rPr>
      <w:rFonts w:ascii="Helvetica" w:eastAsia="Arial Unicode MS" w:hAnsi="Helvetica" w:cs="Arial Unicode MS"/>
      <w:b/>
      <w:bCs/>
      <w:color w:val="000000"/>
      <w:spacing w:val="5"/>
      <w:sz w:val="28"/>
      <w:szCs w:val="28"/>
      <w:bdr w:val="nil"/>
      <w:lang w:val="en-US"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DOAN THANH</dc:creator>
  <cp:keywords/>
  <dc:description/>
  <cp:lastModifiedBy>DOAN THANH</cp:lastModifiedBy>
  <cp:revision>3</cp:revision>
  <dcterms:created xsi:type="dcterms:W3CDTF">2016-04-17T04:13:00Z</dcterms:created>
  <dcterms:modified xsi:type="dcterms:W3CDTF">2016-04-18T03:03:00Z</dcterms:modified>
</cp:coreProperties>
</file>