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CF9" w:rsidRDefault="00B23A3F">
      <w:r>
        <w:rPr>
          <w:noProof/>
        </w:rPr>
        <mc:AlternateContent>
          <mc:Choice Requires="wps">
            <w:drawing>
              <wp:anchor distT="0" distB="0" distL="114300" distR="114300" simplePos="0" relativeHeight="251660288" behindDoc="0" locked="0" layoutInCell="1" allowOverlap="1" wp14:anchorId="68B09188" wp14:editId="58CBFDD3">
                <wp:simplePos x="0" y="0"/>
                <wp:positionH relativeFrom="column">
                  <wp:posOffset>-285750</wp:posOffset>
                </wp:positionH>
                <wp:positionV relativeFrom="paragraph">
                  <wp:posOffset>-8686800</wp:posOffset>
                </wp:positionV>
                <wp:extent cx="16002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600200" cy="1828800"/>
                        </a:xfrm>
                        <a:prstGeom prst="rect">
                          <a:avLst/>
                        </a:prstGeom>
                        <a:noFill/>
                        <a:ln>
                          <a:noFill/>
                        </a:ln>
                        <a:effectLst/>
                      </wps:spPr>
                      <wps:txbx>
                        <w:txbxContent>
                          <w:p w:rsidR="004E1B29" w:rsidRPr="00B23A3F" w:rsidRDefault="004E1B29" w:rsidP="004E1B29">
                            <w:pPr>
                              <w:jc w:val="center"/>
                              <w:rPr>
                                <w:b/>
                                <w:noProof/>
                                <w:color w:val="EEECE1" w:themeColor="background2"/>
                                <w:sz w:val="28"/>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B23A3F">
                              <w:rPr>
                                <w:b/>
                                <w:noProof/>
                                <w:color w:val="EEECE1" w:themeColor="background2"/>
                                <w:sz w:val="28"/>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Currency Selection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5pt;margin-top:-684pt;width:126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" filled="f" stroked="f">
                <v:fill o:detectmouseclick="t"/>
                <v:textbox style="mso-fit-shape-to-text:t">
                  <w:txbxContent>
                    <w:p w:rsidR="004E1B29" w:rsidRPr="00B23A3F" w:rsidRDefault="004E1B29" w:rsidP="004E1B29">
                      <w:pPr>
                        <w:jc w:val="center"/>
                        <w:rPr>
                          <w:b/>
                          <w:noProof/>
                          <w:color w:val="EEECE1" w:themeColor="background2"/>
                          <w:sz w:val="28"/>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B23A3F">
                        <w:rPr>
                          <w:b/>
                          <w:noProof/>
                          <w:color w:val="EEECE1" w:themeColor="background2"/>
                          <w:sz w:val="28"/>
                          <w:szCs w:val="7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Currency Selection</w:t>
                      </w:r>
                    </w:p>
                  </w:txbxContent>
                </v:textbox>
              </v:shape>
            </w:pict>
          </mc:Fallback>
        </mc:AlternateContent>
      </w:r>
      <w:r w:rsidR="004E1B29">
        <w:rPr>
          <w:noProof/>
        </w:rPr>
        <mc:AlternateContent>
          <mc:Choice Requires="wps">
            <w:drawing>
              <wp:anchor distT="0" distB="0" distL="114300" distR="114300" simplePos="0" relativeHeight="251661312" behindDoc="0" locked="0" layoutInCell="1" allowOverlap="1" wp14:anchorId="039EDF04" wp14:editId="00DE3C01">
                <wp:simplePos x="0" y="0"/>
                <wp:positionH relativeFrom="column">
                  <wp:posOffset>-190500</wp:posOffset>
                </wp:positionH>
                <wp:positionV relativeFrom="paragraph">
                  <wp:posOffset>-1781175</wp:posOffset>
                </wp:positionV>
                <wp:extent cx="6515100" cy="2238375"/>
                <wp:effectExtent l="0" t="0" r="19050" b="28575"/>
                <wp:wrapNone/>
                <wp:docPr id="3" name="Bevel 3"/>
                <wp:cNvGraphicFramePr/>
                <a:graphic xmlns:a="http://schemas.openxmlformats.org/drawingml/2006/main">
                  <a:graphicData uri="http://schemas.microsoft.com/office/word/2010/wordprocessingShape">
                    <wps:wsp>
                      <wps:cNvSpPr/>
                      <wps:spPr>
                        <a:xfrm>
                          <a:off x="0" y="0"/>
                          <a:ext cx="6515100" cy="2238375"/>
                        </a:xfrm>
                        <a:prstGeom prst="bevel">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E1B29" w:rsidRPr="00B23A3F" w:rsidRDefault="004E1B29" w:rsidP="004E1B29">
                            <w:pPr>
                              <w:jc w:val="center"/>
                              <w:rPr>
                                <w:sz w:val="36"/>
                                <w:u w:val="single"/>
                              </w:rPr>
                            </w:pPr>
                            <w:r w:rsidRPr="00B23A3F">
                              <w:rPr>
                                <w:sz w:val="36"/>
                                <w:u w:val="single"/>
                              </w:rPr>
                              <w:t>Disciplinary Precautions</w:t>
                            </w:r>
                          </w:p>
                          <w:p w:rsidR="004E1B29" w:rsidRPr="004E1B29" w:rsidRDefault="004E1B29" w:rsidP="004E1B29">
                            <w:pPr>
                              <w:pStyle w:val="ListParagraph"/>
                              <w:numPr>
                                <w:ilvl w:val="0"/>
                                <w:numId w:val="1"/>
                              </w:numPr>
                              <w:rPr>
                                <w:u w:val="single"/>
                              </w:rPr>
                            </w:pPr>
                            <w:r>
                              <w:t xml:space="preserve">No more than 5 </w:t>
                            </w:r>
                            <w:r w:rsidR="00B23A3F">
                              <w:t xml:space="preserve">successful </w:t>
                            </w:r>
                            <w:r>
                              <w:t>trades per session</w:t>
                            </w:r>
                            <w:proofErr w:type="gramStart"/>
                            <w:r w:rsidR="00B23A3F">
                              <w:t xml:space="preserve">. </w:t>
                            </w:r>
                            <w:proofErr w:type="gramEnd"/>
                            <w:r w:rsidR="00B23A3F">
                              <w:t>Just walk away.</w:t>
                            </w:r>
                          </w:p>
                          <w:p w:rsidR="004E1B29" w:rsidRPr="004E1B29" w:rsidRDefault="004E1B29" w:rsidP="004E1B29">
                            <w:pPr>
                              <w:pStyle w:val="ListParagraph"/>
                              <w:numPr>
                                <w:ilvl w:val="0"/>
                                <w:numId w:val="1"/>
                              </w:numPr>
                              <w:rPr>
                                <w:u w:val="single"/>
                              </w:rPr>
                            </w:pPr>
                            <w:r>
                              <w:t>No more than 3 losses per session</w:t>
                            </w:r>
                            <w:proofErr w:type="gramStart"/>
                            <w:r w:rsidR="00B23A3F">
                              <w:t xml:space="preserve">. </w:t>
                            </w:r>
                            <w:proofErr w:type="gramEnd"/>
                            <w:r w:rsidR="00B23A3F">
                              <w:t>Just walk away.</w:t>
                            </w:r>
                          </w:p>
                          <w:p w:rsidR="004E1B29" w:rsidRPr="004E1B29" w:rsidRDefault="004E1B29" w:rsidP="004E1B29">
                            <w:pPr>
                              <w:pStyle w:val="ListParagraph"/>
                              <w:numPr>
                                <w:ilvl w:val="0"/>
                                <w:numId w:val="1"/>
                              </w:numPr>
                              <w:rPr>
                                <w:u w:val="single"/>
                              </w:rPr>
                            </w:pPr>
                            <w:r>
                              <w:t>After 2 consecutive losses, walk away and wait at least an hour before returning</w:t>
                            </w:r>
                          </w:p>
                          <w:p w:rsidR="004E1B29" w:rsidRPr="004E1B29" w:rsidRDefault="00B23A3F" w:rsidP="004E1B29">
                            <w:pPr>
                              <w:pStyle w:val="ListParagraph"/>
                              <w:numPr>
                                <w:ilvl w:val="0"/>
                                <w:numId w:val="1"/>
                              </w:numPr>
                              <w:rPr>
                                <w:u w:val="single"/>
                              </w:rPr>
                            </w:pPr>
                            <w:r>
                              <w:t>Don’t trade countertrend</w:t>
                            </w:r>
                            <w:proofErr w:type="gramStart"/>
                            <w:r>
                              <w:t xml:space="preserve">. </w:t>
                            </w:r>
                            <w:proofErr w:type="gramEnd"/>
                            <w:r>
                              <w:t>Just don’t do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3" o:spid="_x0000_s1027" type="#_x0000_t84" style="position:absolute;margin-left:-15pt;margin-top:-140.25pt;width:513pt;height:176.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" fillcolor="#4f81bd [3204]" strokecolor="#243f60 [1604]" strokeweight="2pt">
                <v:textbox>
                  <w:txbxContent>
                    <w:p w:rsidR="004E1B29" w:rsidRPr="00B23A3F" w:rsidRDefault="004E1B29" w:rsidP="004E1B29">
                      <w:pPr>
                        <w:jc w:val="center"/>
                        <w:rPr>
                          <w:sz w:val="36"/>
                          <w:u w:val="single"/>
                        </w:rPr>
                      </w:pPr>
                      <w:r w:rsidRPr="00B23A3F">
                        <w:rPr>
                          <w:sz w:val="36"/>
                          <w:u w:val="single"/>
                        </w:rPr>
                        <w:t>Disciplinary Precautions</w:t>
                      </w:r>
                    </w:p>
                    <w:p w:rsidR="004E1B29" w:rsidRPr="004E1B29" w:rsidRDefault="004E1B29" w:rsidP="004E1B29">
                      <w:pPr>
                        <w:pStyle w:val="ListParagraph"/>
                        <w:numPr>
                          <w:ilvl w:val="0"/>
                          <w:numId w:val="1"/>
                        </w:numPr>
                        <w:rPr>
                          <w:u w:val="single"/>
                        </w:rPr>
                      </w:pPr>
                      <w:r>
                        <w:t xml:space="preserve">No more than 5 </w:t>
                      </w:r>
                      <w:r w:rsidR="00B23A3F">
                        <w:t xml:space="preserve">successful </w:t>
                      </w:r>
                      <w:r>
                        <w:t>trades per session</w:t>
                      </w:r>
                      <w:proofErr w:type="gramStart"/>
                      <w:r w:rsidR="00B23A3F">
                        <w:t xml:space="preserve">. </w:t>
                      </w:r>
                      <w:proofErr w:type="gramEnd"/>
                      <w:r w:rsidR="00B23A3F">
                        <w:t>Just walk away.</w:t>
                      </w:r>
                    </w:p>
                    <w:p w:rsidR="004E1B29" w:rsidRPr="004E1B29" w:rsidRDefault="004E1B29" w:rsidP="004E1B29">
                      <w:pPr>
                        <w:pStyle w:val="ListParagraph"/>
                        <w:numPr>
                          <w:ilvl w:val="0"/>
                          <w:numId w:val="1"/>
                        </w:numPr>
                        <w:rPr>
                          <w:u w:val="single"/>
                        </w:rPr>
                      </w:pPr>
                      <w:r>
                        <w:t>No more than 3 losses per session</w:t>
                      </w:r>
                      <w:proofErr w:type="gramStart"/>
                      <w:r w:rsidR="00B23A3F">
                        <w:t xml:space="preserve">. </w:t>
                      </w:r>
                      <w:proofErr w:type="gramEnd"/>
                      <w:r w:rsidR="00B23A3F">
                        <w:t>Just walk away.</w:t>
                      </w:r>
                    </w:p>
                    <w:p w:rsidR="004E1B29" w:rsidRPr="004E1B29" w:rsidRDefault="004E1B29" w:rsidP="004E1B29">
                      <w:pPr>
                        <w:pStyle w:val="ListParagraph"/>
                        <w:numPr>
                          <w:ilvl w:val="0"/>
                          <w:numId w:val="1"/>
                        </w:numPr>
                        <w:rPr>
                          <w:u w:val="single"/>
                        </w:rPr>
                      </w:pPr>
                      <w:r>
                        <w:t>After 2 consecutive losses, walk away and wait at least an hour before returning</w:t>
                      </w:r>
                    </w:p>
                    <w:p w:rsidR="004E1B29" w:rsidRPr="004E1B29" w:rsidRDefault="00B23A3F" w:rsidP="004E1B29">
                      <w:pPr>
                        <w:pStyle w:val="ListParagraph"/>
                        <w:numPr>
                          <w:ilvl w:val="0"/>
                          <w:numId w:val="1"/>
                        </w:numPr>
                        <w:rPr>
                          <w:u w:val="single"/>
                        </w:rPr>
                      </w:pPr>
                      <w:r>
                        <w:t>Don’t trade countertrend</w:t>
                      </w:r>
                      <w:proofErr w:type="gramStart"/>
                      <w:r>
                        <w:t xml:space="preserve">. </w:t>
                      </w:r>
                      <w:proofErr w:type="gramEnd"/>
                      <w:r>
                        <w:t>Just don’t do it.</w:t>
                      </w:r>
                    </w:p>
                  </w:txbxContent>
                </v:textbox>
              </v:shape>
            </w:pict>
          </mc:Fallback>
        </mc:AlternateContent>
      </w:r>
      <w:bookmarkStart w:id="0" w:name="_GoBack"/>
      <w:r w:rsidR="00E9786E">
        <w:rPr>
          <w:noProof/>
        </w:rPr>
        <w:drawing>
          <wp:anchor distT="0" distB="0" distL="114300" distR="114300" simplePos="0" relativeHeight="251658240" behindDoc="0" locked="0" layoutInCell="1" allowOverlap="1">
            <wp:simplePos x="0" y="0"/>
            <wp:positionH relativeFrom="column">
              <wp:posOffset>-342900</wp:posOffset>
            </wp:positionH>
            <wp:positionV relativeFrom="paragraph">
              <wp:posOffset>-628650</wp:posOffset>
            </wp:positionV>
            <wp:extent cx="6667500" cy="9382125"/>
            <wp:effectExtent l="19050" t="57150" r="7620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bookmarkEnd w:id="0"/>
    </w:p>
    <w:sectPr w:rsidR="00967C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B13BD"/>
    <w:multiLevelType w:val="hybridMultilevel"/>
    <w:tmpl w:val="57723F42"/>
    <w:lvl w:ilvl="0" w:tplc="F63AD0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86E"/>
    <w:rsid w:val="004E1B29"/>
    <w:rsid w:val="00661782"/>
    <w:rsid w:val="006D05F2"/>
    <w:rsid w:val="00B23A3F"/>
    <w:rsid w:val="00E9786E"/>
    <w:rsid w:val="00EB6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78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86E"/>
    <w:rPr>
      <w:rFonts w:ascii="Tahoma" w:hAnsi="Tahoma" w:cs="Tahoma"/>
      <w:sz w:val="16"/>
      <w:szCs w:val="16"/>
    </w:rPr>
  </w:style>
  <w:style w:type="paragraph" w:styleId="ListParagraph">
    <w:name w:val="List Paragraph"/>
    <w:basedOn w:val="Normal"/>
    <w:uiPriority w:val="34"/>
    <w:qFormat/>
    <w:rsid w:val="004E1B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78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86E"/>
    <w:rPr>
      <w:rFonts w:ascii="Tahoma" w:hAnsi="Tahoma" w:cs="Tahoma"/>
      <w:sz w:val="16"/>
      <w:szCs w:val="16"/>
    </w:rPr>
  </w:style>
  <w:style w:type="paragraph" w:styleId="ListParagraph">
    <w:name w:val="List Paragraph"/>
    <w:basedOn w:val="Normal"/>
    <w:uiPriority w:val="34"/>
    <w:qFormat/>
    <w:rsid w:val="004E1B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B97365-0599-4969-AD7F-A44DEC9360D8}" type="doc">
      <dgm:prSet loTypeId="urn:microsoft.com/office/officeart/2005/8/layout/process5" loCatId="process" qsTypeId="urn:microsoft.com/office/officeart/2005/8/quickstyle/simple2" qsCatId="simple" csTypeId="urn:microsoft.com/office/officeart/2005/8/colors/accent1_2" csCatId="accent1" phldr="1"/>
      <dgm:spPr/>
      <dgm:t>
        <a:bodyPr/>
        <a:lstStyle/>
        <a:p>
          <a:endParaRPr lang="en-US"/>
        </a:p>
      </dgm:t>
    </dgm:pt>
    <dgm:pt modelId="{DA625B04-6940-4531-B031-EA9A47B90D7F}">
      <dgm:prSet phldrT="[Text]" custT="1"/>
      <dgm:spPr/>
      <dgm:t>
        <a:bodyPr/>
        <a:lstStyle/>
        <a:p>
          <a:endParaRPr lang="en-US" sz="1000"/>
        </a:p>
      </dgm:t>
    </dgm:pt>
    <dgm:pt modelId="{7BE2D7B7-503A-4428-BB4F-F4B83EBF966D}" type="parTrans" cxnId="{C1AE5F0C-69B2-4A26-809A-9CBB823847ED}">
      <dgm:prSet/>
      <dgm:spPr/>
      <dgm:t>
        <a:bodyPr/>
        <a:lstStyle/>
        <a:p>
          <a:endParaRPr lang="en-US"/>
        </a:p>
      </dgm:t>
    </dgm:pt>
    <dgm:pt modelId="{B3985CF7-177F-4FD6-A541-9C31871CB8AE}" type="sibTrans" cxnId="{C1AE5F0C-69B2-4A26-809A-9CBB823847ED}">
      <dgm:prSet/>
      <dgm:spPr/>
      <dgm:t>
        <a:bodyPr/>
        <a:lstStyle/>
        <a:p>
          <a:endParaRPr lang="en-US"/>
        </a:p>
      </dgm:t>
    </dgm:pt>
    <dgm:pt modelId="{B80F51B3-AF33-441D-930C-8FDE09517A0E}">
      <dgm:prSet phldrT="[Text]" custT="1"/>
      <dgm:spPr/>
      <dgm:t>
        <a:bodyPr/>
        <a:lstStyle/>
        <a:p>
          <a:r>
            <a:rPr lang="en-US" sz="1200"/>
            <a:t>Check for their distance apart. The farther apart, the weaker the signals will be so be careful. The closer they are, the stronger the signals.</a:t>
          </a:r>
        </a:p>
      </dgm:t>
    </dgm:pt>
    <dgm:pt modelId="{BAFBA8BD-3389-4B82-9815-F9095769BA43}" type="parTrans" cxnId="{63403C57-4514-4A6C-9AA4-71527123FC00}">
      <dgm:prSet/>
      <dgm:spPr/>
      <dgm:t>
        <a:bodyPr/>
        <a:lstStyle/>
        <a:p>
          <a:endParaRPr lang="en-US"/>
        </a:p>
      </dgm:t>
    </dgm:pt>
    <dgm:pt modelId="{4EAE548A-E6D9-4D03-95B8-2A87FECF7E85}" type="sibTrans" cxnId="{63403C57-4514-4A6C-9AA4-71527123FC00}">
      <dgm:prSet/>
      <dgm:spPr/>
      <dgm:t>
        <a:bodyPr/>
        <a:lstStyle/>
        <a:p>
          <a:endParaRPr lang="en-US"/>
        </a:p>
      </dgm:t>
    </dgm:pt>
    <dgm:pt modelId="{C39E4AAB-2604-4100-ADA6-893D1855130A}">
      <dgm:prSet phldrT="[Text]" custT="1"/>
      <dgm:spPr/>
      <dgm:t>
        <a:bodyPr/>
        <a:lstStyle/>
        <a:p>
          <a:r>
            <a:rPr lang="en-US" sz="1200"/>
            <a:t>With direction established and strength of upcoming signals set, first keep an eye out for 35/50 touches. These are, for what it's worth, the best signals to take. </a:t>
          </a:r>
        </a:p>
      </dgm:t>
    </dgm:pt>
    <dgm:pt modelId="{629A36ED-B0F5-49DF-A23F-43A949C8F840}" type="parTrans" cxnId="{60BC7321-DF9F-47FE-9DF2-FA94695BB2B0}">
      <dgm:prSet/>
      <dgm:spPr/>
      <dgm:t>
        <a:bodyPr/>
        <a:lstStyle/>
        <a:p>
          <a:endParaRPr lang="en-US"/>
        </a:p>
      </dgm:t>
    </dgm:pt>
    <dgm:pt modelId="{87592C52-3E3C-4757-B622-019DE32F404E}" type="sibTrans" cxnId="{60BC7321-DF9F-47FE-9DF2-FA94695BB2B0}">
      <dgm:prSet/>
      <dgm:spPr/>
      <dgm:t>
        <a:bodyPr/>
        <a:lstStyle/>
        <a:p>
          <a:endParaRPr lang="en-US"/>
        </a:p>
      </dgm:t>
    </dgm:pt>
    <dgm:pt modelId="{B2AE3FAF-C6D9-426A-B943-A61C65474958}">
      <dgm:prSet phldrT="[Text]" custT="1"/>
      <dgm:spPr/>
      <dgm:t>
        <a:bodyPr/>
        <a:lstStyle/>
        <a:p>
          <a:r>
            <a:rPr lang="en-US" sz="1200"/>
            <a:t>If none of them seem near, check for the slope of the 10 EMA. If it's steep (at least 45 degrees), check for touches against it. If  they show up, take them.</a:t>
          </a:r>
        </a:p>
      </dgm:t>
    </dgm:pt>
    <dgm:pt modelId="{0AA78E20-7D63-4BF4-A8AF-0656F7788176}" type="parTrans" cxnId="{EAE47D25-355E-4CCE-AF0C-3A7A218C1D93}">
      <dgm:prSet/>
      <dgm:spPr/>
      <dgm:t>
        <a:bodyPr/>
        <a:lstStyle/>
        <a:p>
          <a:endParaRPr lang="en-US"/>
        </a:p>
      </dgm:t>
    </dgm:pt>
    <dgm:pt modelId="{B2C9C068-4E3B-43B8-AB0C-19CC08E72D2C}" type="sibTrans" cxnId="{EAE47D25-355E-4CCE-AF0C-3A7A218C1D93}">
      <dgm:prSet/>
      <dgm:spPr/>
      <dgm:t>
        <a:bodyPr/>
        <a:lstStyle/>
        <a:p>
          <a:endParaRPr lang="en-US"/>
        </a:p>
      </dgm:t>
    </dgm:pt>
    <dgm:pt modelId="{1C9F2E5F-4B97-4ADC-81F1-544FEA345701}">
      <dgm:prSet phldrT="[Text]"/>
      <dgm:spPr/>
      <dgm:t>
        <a:bodyPr/>
        <a:lstStyle/>
        <a:p>
          <a:r>
            <a:rPr lang="en-US"/>
            <a:t>Once an entry is established, initial stop settings should be relatively tight. Your main goal and biggest battle will be to aggressively move stop into breakeven territory as quickly as possible without choking out your trade. </a:t>
          </a:r>
        </a:p>
      </dgm:t>
    </dgm:pt>
    <dgm:pt modelId="{9103C40D-9F35-4988-9474-37651621678B}" type="parTrans" cxnId="{19139FCB-4489-4AEF-905B-8DD22E0E7970}">
      <dgm:prSet/>
      <dgm:spPr/>
      <dgm:t>
        <a:bodyPr/>
        <a:lstStyle/>
        <a:p>
          <a:endParaRPr lang="en-US"/>
        </a:p>
      </dgm:t>
    </dgm:pt>
    <dgm:pt modelId="{8DDFB490-12A3-4289-83FF-C8FD14BFCAEE}" type="sibTrans" cxnId="{19139FCB-4489-4AEF-905B-8DD22E0E7970}">
      <dgm:prSet/>
      <dgm:spPr/>
      <dgm:t>
        <a:bodyPr/>
        <a:lstStyle/>
        <a:p>
          <a:endParaRPr lang="en-US"/>
        </a:p>
      </dgm:t>
    </dgm:pt>
    <dgm:pt modelId="{9E06C014-B67A-462D-A738-5C36D8CBF0DD}">
      <dgm:prSet custT="1"/>
      <dgm:spPr/>
      <dgm:t>
        <a:bodyPr/>
        <a:lstStyle/>
        <a:p>
          <a:r>
            <a:rPr lang="en-US" sz="1400"/>
            <a:t>See if the 50/35 are showing direction. If not, stop at this step and wait until they are. </a:t>
          </a:r>
        </a:p>
      </dgm:t>
    </dgm:pt>
    <dgm:pt modelId="{1D0C4CB2-BD3B-4044-BD4A-978FAA36C08A}" type="parTrans" cxnId="{C443B13D-4C10-41A9-A00E-577E833CD406}">
      <dgm:prSet/>
      <dgm:spPr/>
      <dgm:t>
        <a:bodyPr/>
        <a:lstStyle/>
        <a:p>
          <a:endParaRPr lang="en-US"/>
        </a:p>
      </dgm:t>
    </dgm:pt>
    <dgm:pt modelId="{E9664F1E-775C-4CE7-BB87-6539E1976A51}" type="sibTrans" cxnId="{C443B13D-4C10-41A9-A00E-577E833CD406}">
      <dgm:prSet/>
      <dgm:spPr/>
      <dgm:t>
        <a:bodyPr/>
        <a:lstStyle/>
        <a:p>
          <a:endParaRPr lang="en-US"/>
        </a:p>
      </dgm:t>
    </dgm:pt>
    <dgm:pt modelId="{B902955C-B78D-41C6-A442-E9CB963197E5}">
      <dgm:prSet custT="1"/>
      <dgm:spPr/>
      <dgm:t>
        <a:bodyPr/>
        <a:lstStyle/>
        <a:p>
          <a:r>
            <a:rPr lang="en-US" sz="700"/>
            <a:t>2am - 3am (EST) EURJPY</a:t>
          </a:r>
        </a:p>
      </dgm:t>
    </dgm:pt>
    <dgm:pt modelId="{45E93EA6-8642-4B85-9CD1-32813438CAFB}" type="parTrans" cxnId="{BC16A5E9-5883-4E94-8E77-D468135C094D}">
      <dgm:prSet/>
      <dgm:spPr/>
      <dgm:t>
        <a:bodyPr/>
        <a:lstStyle/>
        <a:p>
          <a:endParaRPr lang="en-US"/>
        </a:p>
      </dgm:t>
    </dgm:pt>
    <dgm:pt modelId="{7D02B481-4DAD-4338-95F0-F05A14A05241}" type="sibTrans" cxnId="{BC16A5E9-5883-4E94-8E77-D468135C094D}">
      <dgm:prSet/>
      <dgm:spPr/>
      <dgm:t>
        <a:bodyPr/>
        <a:lstStyle/>
        <a:p>
          <a:endParaRPr lang="en-US"/>
        </a:p>
      </dgm:t>
    </dgm:pt>
    <dgm:pt modelId="{CB7F5220-5A32-49D2-BA30-EABF9E90DEBD}">
      <dgm:prSet custT="1"/>
      <dgm:spPr/>
      <dgm:t>
        <a:bodyPr/>
        <a:lstStyle/>
        <a:p>
          <a:r>
            <a:rPr lang="en-US" sz="700"/>
            <a:t>3am - 8am (EST) EURJPY / GBPJPY</a:t>
          </a:r>
        </a:p>
      </dgm:t>
    </dgm:pt>
    <dgm:pt modelId="{E60F1068-557F-4AAB-BC64-78C661A5F9ED}" type="parTrans" cxnId="{19F01CB7-2362-4CBF-8766-FA7A1C54DC97}">
      <dgm:prSet/>
      <dgm:spPr/>
      <dgm:t>
        <a:bodyPr/>
        <a:lstStyle/>
        <a:p>
          <a:endParaRPr lang="en-US"/>
        </a:p>
      </dgm:t>
    </dgm:pt>
    <dgm:pt modelId="{0E00AE76-B281-436D-A9B9-6E9B0180EE77}" type="sibTrans" cxnId="{19F01CB7-2362-4CBF-8766-FA7A1C54DC97}">
      <dgm:prSet/>
      <dgm:spPr/>
      <dgm:t>
        <a:bodyPr/>
        <a:lstStyle/>
        <a:p>
          <a:endParaRPr lang="en-US"/>
        </a:p>
      </dgm:t>
    </dgm:pt>
    <dgm:pt modelId="{78D2B3C7-37FA-4519-8223-43DA94A9338B}">
      <dgm:prSet custT="1"/>
      <dgm:spPr/>
      <dgm:t>
        <a:bodyPr/>
        <a:lstStyle/>
        <a:p>
          <a:r>
            <a:rPr lang="en-US" sz="700"/>
            <a:t>8am-12pm (EST) EURUSD / GBPUSD</a:t>
          </a:r>
        </a:p>
      </dgm:t>
    </dgm:pt>
    <dgm:pt modelId="{4673CE6A-9D75-4B55-9408-407C6640B9FB}" type="parTrans" cxnId="{A7754252-7E0A-4688-9508-099363E52239}">
      <dgm:prSet/>
      <dgm:spPr/>
      <dgm:t>
        <a:bodyPr/>
        <a:lstStyle/>
        <a:p>
          <a:endParaRPr lang="en-US"/>
        </a:p>
      </dgm:t>
    </dgm:pt>
    <dgm:pt modelId="{5857ABFD-A8CB-4448-A13A-1C518811C4FC}" type="sibTrans" cxnId="{A7754252-7E0A-4688-9508-099363E52239}">
      <dgm:prSet/>
      <dgm:spPr/>
      <dgm:t>
        <a:bodyPr/>
        <a:lstStyle/>
        <a:p>
          <a:endParaRPr lang="en-US"/>
        </a:p>
      </dgm:t>
    </dgm:pt>
    <dgm:pt modelId="{7843A636-875C-4EB5-8F9E-BCB9485220FE}">
      <dgm:prSet custT="1"/>
      <dgm:spPr/>
      <dgm:t>
        <a:bodyPr/>
        <a:lstStyle/>
        <a:p>
          <a:r>
            <a:rPr lang="en-US" sz="700"/>
            <a:t>12pm - 4pm (EST) EURUSD -or- GBPUSD / Break</a:t>
          </a:r>
        </a:p>
      </dgm:t>
    </dgm:pt>
    <dgm:pt modelId="{3C8CC364-45CD-4FDB-9121-A4FAE2C3B64F}" type="parTrans" cxnId="{5FBAAB44-0910-472E-8302-D8C79B150F0D}">
      <dgm:prSet/>
      <dgm:spPr/>
      <dgm:t>
        <a:bodyPr/>
        <a:lstStyle/>
        <a:p>
          <a:endParaRPr lang="en-US"/>
        </a:p>
      </dgm:t>
    </dgm:pt>
    <dgm:pt modelId="{53156FDF-A5F6-43B6-B757-A4FFA8825F86}" type="sibTrans" cxnId="{5FBAAB44-0910-472E-8302-D8C79B150F0D}">
      <dgm:prSet/>
      <dgm:spPr/>
      <dgm:t>
        <a:bodyPr/>
        <a:lstStyle/>
        <a:p>
          <a:endParaRPr lang="en-US"/>
        </a:p>
      </dgm:t>
    </dgm:pt>
    <dgm:pt modelId="{154DD77C-9E11-4CCB-AB4C-95D4738D439D}">
      <dgm:prSet custT="1"/>
      <dgm:spPr/>
      <dgm:t>
        <a:bodyPr/>
        <a:lstStyle/>
        <a:p>
          <a:r>
            <a:rPr lang="en-US" sz="700"/>
            <a:t>4pm - 7pm (EST) AUDJPY / AUDUSD</a:t>
          </a:r>
        </a:p>
      </dgm:t>
    </dgm:pt>
    <dgm:pt modelId="{305AF1C5-6385-4B33-AF18-439D24799531}" type="parTrans" cxnId="{A2F621D5-1476-4457-8C86-6D14954AA4CB}">
      <dgm:prSet/>
      <dgm:spPr/>
      <dgm:t>
        <a:bodyPr/>
        <a:lstStyle/>
        <a:p>
          <a:endParaRPr lang="en-US"/>
        </a:p>
      </dgm:t>
    </dgm:pt>
    <dgm:pt modelId="{EB40CC09-3BF0-4E53-B09D-544A5AB1901C}" type="sibTrans" cxnId="{A2F621D5-1476-4457-8C86-6D14954AA4CB}">
      <dgm:prSet/>
      <dgm:spPr/>
      <dgm:t>
        <a:bodyPr/>
        <a:lstStyle/>
        <a:p>
          <a:endParaRPr lang="en-US"/>
        </a:p>
      </dgm:t>
    </dgm:pt>
    <dgm:pt modelId="{80C20C64-7956-44EC-A10B-DD0CB84DE59B}">
      <dgm:prSet custT="1"/>
      <dgm:spPr/>
      <dgm:t>
        <a:bodyPr/>
        <a:lstStyle/>
        <a:p>
          <a:r>
            <a:rPr lang="en-US" sz="700"/>
            <a:t>7pm - 2am (EST) </a:t>
          </a:r>
          <a:r>
            <a:rPr lang="en-US" sz="700"/>
            <a:t>AUDJPY</a:t>
          </a:r>
        </a:p>
      </dgm:t>
    </dgm:pt>
    <dgm:pt modelId="{A1500681-A6BD-4DD6-96C9-73C238A7E91C}" type="sibTrans" cxnId="{DB3E4384-837D-4650-A188-596DF039BDB0}">
      <dgm:prSet/>
      <dgm:spPr/>
      <dgm:t>
        <a:bodyPr/>
        <a:lstStyle/>
        <a:p>
          <a:endParaRPr lang="en-US"/>
        </a:p>
      </dgm:t>
    </dgm:pt>
    <dgm:pt modelId="{DC43CC96-4C10-42EF-997A-FF597390452A}" type="parTrans" cxnId="{DB3E4384-837D-4650-A188-596DF039BDB0}">
      <dgm:prSet/>
      <dgm:spPr/>
      <dgm:t>
        <a:bodyPr/>
        <a:lstStyle/>
        <a:p>
          <a:endParaRPr lang="en-US"/>
        </a:p>
      </dgm:t>
    </dgm:pt>
    <dgm:pt modelId="{5C3C5B8B-F86E-41F4-BA45-22E6F3746FAD}">
      <dgm:prSet custT="1"/>
      <dgm:spPr/>
      <dgm:t>
        <a:bodyPr/>
        <a:lstStyle/>
        <a:p>
          <a:endParaRPr lang="en-US" sz="800"/>
        </a:p>
      </dgm:t>
    </dgm:pt>
    <dgm:pt modelId="{C0096072-D879-424C-9A79-EF93B1D14143}" type="parTrans" cxnId="{D34B4AB1-246F-4827-B6DF-E87A8B4122DF}">
      <dgm:prSet/>
      <dgm:spPr/>
      <dgm:t>
        <a:bodyPr/>
        <a:lstStyle/>
        <a:p>
          <a:endParaRPr lang="en-US"/>
        </a:p>
      </dgm:t>
    </dgm:pt>
    <dgm:pt modelId="{8C6B3593-E7BD-4588-9EBA-8E33E9512A8D}" type="sibTrans" cxnId="{D34B4AB1-246F-4827-B6DF-E87A8B4122DF}">
      <dgm:prSet/>
      <dgm:spPr/>
      <dgm:t>
        <a:bodyPr/>
        <a:lstStyle/>
        <a:p>
          <a:endParaRPr lang="en-US"/>
        </a:p>
      </dgm:t>
    </dgm:pt>
    <dgm:pt modelId="{0392E07F-C511-4A55-B3AA-A56759B15CDB}">
      <dgm:prSet/>
      <dgm:spPr/>
      <dgm:t>
        <a:bodyPr/>
        <a:lstStyle/>
        <a:p>
          <a:r>
            <a:rPr lang="en-US"/>
            <a:t>Now that you're in the trade, price action and round number levels become even more relevant. Watch for these signs of slowdown and reversal as cues to plan your exit. </a:t>
          </a:r>
        </a:p>
      </dgm:t>
    </dgm:pt>
    <dgm:pt modelId="{B1DCD34D-7F19-43F6-AC93-79EF1ED76798}" type="parTrans" cxnId="{C17C81BF-4601-48B1-A5BC-24CEABA48342}">
      <dgm:prSet/>
      <dgm:spPr/>
      <dgm:t>
        <a:bodyPr/>
        <a:lstStyle/>
        <a:p>
          <a:endParaRPr lang="en-US"/>
        </a:p>
      </dgm:t>
    </dgm:pt>
    <dgm:pt modelId="{1642CFE8-D0FD-4CD6-AD23-0DDE5D9DB797}" type="sibTrans" cxnId="{C17C81BF-4601-48B1-A5BC-24CEABA48342}">
      <dgm:prSet/>
      <dgm:spPr/>
      <dgm:t>
        <a:bodyPr/>
        <a:lstStyle/>
        <a:p>
          <a:endParaRPr lang="en-US"/>
        </a:p>
      </dgm:t>
    </dgm:pt>
    <dgm:pt modelId="{F305F39E-95A9-4AAD-A0CC-61D80E17B2A5}">
      <dgm:prSet custT="1"/>
      <dgm:spPr/>
      <dgm:t>
        <a:bodyPr/>
        <a:lstStyle/>
        <a:p>
          <a:r>
            <a:rPr lang="en-US" sz="1400"/>
            <a:t>Exit strategy / trade management is probably where the most variance lies and room for personal touch kicks in. Don't be afraid to take profits as early as you see fit from the PA and RN levels. Rolling stops is a great way to lock in some profits without cutting them too short, the drawback being likely less end profits from moves against you triggering the order. </a:t>
          </a:r>
        </a:p>
        <a:p>
          <a:r>
            <a:rPr lang="en-US" sz="1400"/>
            <a:t>A combination of the two suits some people as well.</a:t>
          </a:r>
        </a:p>
      </dgm:t>
    </dgm:pt>
    <dgm:pt modelId="{C65F7494-9A0A-452B-A4E9-B194D46354AC}" type="parTrans" cxnId="{7FB2DB52-E508-4ED0-863C-34019719F728}">
      <dgm:prSet/>
      <dgm:spPr/>
      <dgm:t>
        <a:bodyPr/>
        <a:lstStyle/>
        <a:p>
          <a:endParaRPr lang="en-US"/>
        </a:p>
      </dgm:t>
    </dgm:pt>
    <dgm:pt modelId="{2D28CD59-B74A-4AFC-A5C3-CB4C3052EFA9}" type="sibTrans" cxnId="{7FB2DB52-E508-4ED0-863C-34019719F728}">
      <dgm:prSet/>
      <dgm:spPr/>
      <dgm:t>
        <a:bodyPr/>
        <a:lstStyle/>
        <a:p>
          <a:endParaRPr lang="en-US"/>
        </a:p>
      </dgm:t>
    </dgm:pt>
    <dgm:pt modelId="{154F7919-21EA-415E-BCDC-BA6B618FFEC1}">
      <dgm:prSet custT="1"/>
      <dgm:spPr/>
      <dgm:t>
        <a:bodyPr/>
        <a:lstStyle/>
        <a:p>
          <a:r>
            <a:rPr lang="en-US" sz="1100"/>
            <a:t>Regardless of those specifics, the "by the book rule" is to roll your stop loss to the extreme of the most previous bar that moved in your direction. </a:t>
          </a:r>
        </a:p>
      </dgm:t>
    </dgm:pt>
    <dgm:pt modelId="{520DB210-5E2B-45D1-80F8-E110019ED8B2}" type="parTrans" cxnId="{67653B08-1F26-47C0-A2DA-C496932FDD79}">
      <dgm:prSet/>
      <dgm:spPr/>
      <dgm:t>
        <a:bodyPr/>
        <a:lstStyle/>
        <a:p>
          <a:endParaRPr lang="en-US"/>
        </a:p>
      </dgm:t>
    </dgm:pt>
    <dgm:pt modelId="{BF12C074-8319-4057-96CE-1C002A17E9DA}" type="sibTrans" cxnId="{67653B08-1F26-47C0-A2DA-C496932FDD79}">
      <dgm:prSet/>
      <dgm:spPr/>
      <dgm:t>
        <a:bodyPr/>
        <a:lstStyle/>
        <a:p>
          <a:endParaRPr lang="en-US"/>
        </a:p>
      </dgm:t>
    </dgm:pt>
    <dgm:pt modelId="{499C9887-6E41-43A9-9845-544E107924E4}">
      <dgm:prSet custT="1"/>
      <dgm:spPr/>
      <dgm:t>
        <a:bodyPr/>
        <a:lstStyle/>
        <a:p>
          <a:endParaRPr lang="en-US" sz="700"/>
        </a:p>
      </dgm:t>
    </dgm:pt>
    <dgm:pt modelId="{C9D67B89-3AF7-45C7-B284-448E433E25E9}" type="parTrans" cxnId="{A3D36504-123B-45A1-A543-8B513A3D4C95}">
      <dgm:prSet/>
      <dgm:spPr/>
      <dgm:t>
        <a:bodyPr/>
        <a:lstStyle/>
        <a:p>
          <a:endParaRPr lang="en-US"/>
        </a:p>
      </dgm:t>
    </dgm:pt>
    <dgm:pt modelId="{73CC565C-6AF3-4789-B697-AE955FF8558D}" type="sibTrans" cxnId="{A3D36504-123B-45A1-A543-8B513A3D4C95}">
      <dgm:prSet/>
      <dgm:spPr/>
      <dgm:t>
        <a:bodyPr/>
        <a:lstStyle/>
        <a:p>
          <a:endParaRPr lang="en-US"/>
        </a:p>
      </dgm:t>
    </dgm:pt>
    <dgm:pt modelId="{34BE2CDD-55F0-4775-9751-A27E89148B03}" type="pres">
      <dgm:prSet presAssocID="{05B97365-0599-4969-AD7F-A44DEC9360D8}" presName="diagram" presStyleCnt="0">
        <dgm:presLayoutVars>
          <dgm:dir/>
          <dgm:resizeHandles val="exact"/>
        </dgm:presLayoutVars>
      </dgm:prSet>
      <dgm:spPr/>
    </dgm:pt>
    <dgm:pt modelId="{3863A4F4-6A6A-47AF-B6C7-3C7B5E0921BC}" type="pres">
      <dgm:prSet presAssocID="{DA625B04-6940-4531-B031-EA9A47B90D7F}" presName="node" presStyleLbl="node1" presStyleIdx="0" presStyleCnt="9" custLinFactNeighborX="2928" custLinFactNeighborY="14411">
        <dgm:presLayoutVars>
          <dgm:bulletEnabled val="1"/>
        </dgm:presLayoutVars>
      </dgm:prSet>
      <dgm:spPr/>
      <dgm:t>
        <a:bodyPr/>
        <a:lstStyle/>
        <a:p>
          <a:endParaRPr lang="en-US"/>
        </a:p>
      </dgm:t>
    </dgm:pt>
    <dgm:pt modelId="{C1929D32-06CE-4AB3-A4D2-60B386F21F08}" type="pres">
      <dgm:prSet presAssocID="{B3985CF7-177F-4FD6-A541-9C31871CB8AE}" presName="sibTrans" presStyleLbl="sibTrans2D1" presStyleIdx="0" presStyleCnt="8"/>
      <dgm:spPr/>
    </dgm:pt>
    <dgm:pt modelId="{BFC56CA4-ECF9-479C-A81F-36D40BCB1E0E}" type="pres">
      <dgm:prSet presAssocID="{B3985CF7-177F-4FD6-A541-9C31871CB8AE}" presName="connectorText" presStyleLbl="sibTrans2D1" presStyleIdx="0" presStyleCnt="8"/>
      <dgm:spPr/>
    </dgm:pt>
    <dgm:pt modelId="{116C33C1-8B7F-48CA-9260-52BC93F5CA1E}" type="pres">
      <dgm:prSet presAssocID="{9E06C014-B67A-462D-A738-5C36D8CBF0DD}" presName="node" presStyleLbl="node1" presStyleIdx="1" presStyleCnt="9" custLinFactNeighborX="-8232" custLinFactNeighborY="-48019">
        <dgm:presLayoutVars>
          <dgm:bulletEnabled val="1"/>
        </dgm:presLayoutVars>
      </dgm:prSet>
      <dgm:spPr/>
      <dgm:t>
        <a:bodyPr/>
        <a:lstStyle/>
        <a:p>
          <a:endParaRPr lang="en-US"/>
        </a:p>
      </dgm:t>
    </dgm:pt>
    <dgm:pt modelId="{76ACDB84-21E0-4F1A-91F4-297D835B1003}" type="pres">
      <dgm:prSet presAssocID="{E9664F1E-775C-4CE7-BB87-6539E1976A51}" presName="sibTrans" presStyleLbl="sibTrans2D1" presStyleIdx="1" presStyleCnt="8"/>
      <dgm:spPr/>
    </dgm:pt>
    <dgm:pt modelId="{0B6C5E20-817E-4B04-A664-73077E59A590}" type="pres">
      <dgm:prSet presAssocID="{E9664F1E-775C-4CE7-BB87-6539E1976A51}" presName="connectorText" presStyleLbl="sibTrans2D1" presStyleIdx="1" presStyleCnt="8"/>
      <dgm:spPr/>
    </dgm:pt>
    <dgm:pt modelId="{B5327D60-19C6-41C5-AC3A-E0D40073EAA2}" type="pres">
      <dgm:prSet presAssocID="{B80F51B3-AF33-441D-930C-8FDE09517A0E}" presName="node" presStyleLbl="node1" presStyleIdx="2" presStyleCnt="9" custLinFactNeighborX="-2036" custLinFactNeighborY="-27541">
        <dgm:presLayoutVars>
          <dgm:bulletEnabled val="1"/>
        </dgm:presLayoutVars>
      </dgm:prSet>
      <dgm:spPr/>
      <dgm:t>
        <a:bodyPr/>
        <a:lstStyle/>
        <a:p>
          <a:endParaRPr lang="en-US"/>
        </a:p>
      </dgm:t>
    </dgm:pt>
    <dgm:pt modelId="{7C27F1BD-134A-4434-BF47-F44ED9DFACFC}" type="pres">
      <dgm:prSet presAssocID="{4EAE548A-E6D9-4D03-95B8-2A87FECF7E85}" presName="sibTrans" presStyleLbl="sibTrans2D1" presStyleIdx="2" presStyleCnt="8"/>
      <dgm:spPr/>
    </dgm:pt>
    <dgm:pt modelId="{E763A3D7-746A-44EA-BBDA-816D07E7DED2}" type="pres">
      <dgm:prSet presAssocID="{4EAE548A-E6D9-4D03-95B8-2A87FECF7E85}" presName="connectorText" presStyleLbl="sibTrans2D1" presStyleIdx="2" presStyleCnt="8"/>
      <dgm:spPr/>
    </dgm:pt>
    <dgm:pt modelId="{A5EFD860-6398-4975-9496-CA9A85D3B90D}" type="pres">
      <dgm:prSet presAssocID="{C39E4AAB-2604-4100-ADA6-893D1855130A}" presName="node" presStyleLbl="node1" presStyleIdx="3" presStyleCnt="9" custScaleY="134928" custLinFactNeighborX="5608" custLinFactNeighborY="-24460">
        <dgm:presLayoutVars>
          <dgm:bulletEnabled val="1"/>
        </dgm:presLayoutVars>
      </dgm:prSet>
      <dgm:spPr/>
      <dgm:t>
        <a:bodyPr/>
        <a:lstStyle/>
        <a:p>
          <a:endParaRPr lang="en-US"/>
        </a:p>
      </dgm:t>
    </dgm:pt>
    <dgm:pt modelId="{F41754E1-286E-457B-A85C-BD22EE0BA5D7}" type="pres">
      <dgm:prSet presAssocID="{87592C52-3E3C-4757-B622-019DE32F404E}" presName="sibTrans" presStyleLbl="sibTrans2D1" presStyleIdx="3" presStyleCnt="8"/>
      <dgm:spPr/>
    </dgm:pt>
    <dgm:pt modelId="{B1E2CA98-0B50-48B3-97D7-755EA08CEB60}" type="pres">
      <dgm:prSet presAssocID="{87592C52-3E3C-4757-B622-019DE32F404E}" presName="connectorText" presStyleLbl="sibTrans2D1" presStyleIdx="3" presStyleCnt="8"/>
      <dgm:spPr/>
    </dgm:pt>
    <dgm:pt modelId="{CFA722B9-8BED-4CD8-A085-998F2D98A7FC}" type="pres">
      <dgm:prSet presAssocID="{B2AE3FAF-C6D9-426A-B943-A61C65474958}" presName="node" presStyleLbl="node1" presStyleIdx="4" presStyleCnt="9" custScaleX="109331" custScaleY="119399" custLinFactNeighborX="10073" custLinFactNeighborY="-44007">
        <dgm:presLayoutVars>
          <dgm:bulletEnabled val="1"/>
        </dgm:presLayoutVars>
      </dgm:prSet>
      <dgm:spPr/>
      <dgm:t>
        <a:bodyPr/>
        <a:lstStyle/>
        <a:p>
          <a:endParaRPr lang="en-US"/>
        </a:p>
      </dgm:t>
    </dgm:pt>
    <dgm:pt modelId="{048AADDE-2A92-4FB9-AEF2-AADB5A6D4F53}" type="pres">
      <dgm:prSet presAssocID="{B2C9C068-4E3B-43B8-AB0C-19CC08E72D2C}" presName="sibTrans" presStyleLbl="sibTrans2D1" presStyleIdx="4" presStyleCnt="8"/>
      <dgm:spPr/>
    </dgm:pt>
    <dgm:pt modelId="{DBF97DDD-CF90-4FE7-A030-6C8755710791}" type="pres">
      <dgm:prSet presAssocID="{B2C9C068-4E3B-43B8-AB0C-19CC08E72D2C}" presName="connectorText" presStyleLbl="sibTrans2D1" presStyleIdx="4" presStyleCnt="8"/>
      <dgm:spPr/>
    </dgm:pt>
    <dgm:pt modelId="{C54AB44B-CD31-4EAA-8AA3-561DB9803361}" type="pres">
      <dgm:prSet presAssocID="{1C9F2E5F-4B97-4ADC-81F1-544FEA345701}" presName="node" presStyleLbl="node1" presStyleIdx="5" presStyleCnt="9" custLinFactX="-18070" custLinFactY="-100000" custLinFactNeighborX="-100000" custLinFactNeighborY="-120836">
        <dgm:presLayoutVars>
          <dgm:bulletEnabled val="1"/>
        </dgm:presLayoutVars>
      </dgm:prSet>
      <dgm:spPr/>
      <dgm:t>
        <a:bodyPr/>
        <a:lstStyle/>
        <a:p>
          <a:endParaRPr lang="en-US"/>
        </a:p>
      </dgm:t>
    </dgm:pt>
    <dgm:pt modelId="{D4B89236-5B84-43EC-BB1B-EF09F4BB6941}" type="pres">
      <dgm:prSet presAssocID="{8DDFB490-12A3-4289-83FF-C8FD14BFCAEE}" presName="sibTrans" presStyleLbl="sibTrans2D1" presStyleIdx="5" presStyleCnt="8"/>
      <dgm:spPr/>
    </dgm:pt>
    <dgm:pt modelId="{0511F1B2-B5BA-40F0-B654-644464FBE57A}" type="pres">
      <dgm:prSet presAssocID="{8DDFB490-12A3-4289-83FF-C8FD14BFCAEE}" presName="connectorText" presStyleLbl="sibTrans2D1" presStyleIdx="5" presStyleCnt="8"/>
      <dgm:spPr/>
    </dgm:pt>
    <dgm:pt modelId="{93B7DD96-F59F-4012-8FC9-33BA64DEBA73}" type="pres">
      <dgm:prSet presAssocID="{0392E07F-C511-4A55-B3AA-A56759B15CDB}" presName="node" presStyleLbl="node1" presStyleIdx="6" presStyleCnt="9" custLinFactX="-100000" custLinFactNeighborX="-165503" custLinFactNeighborY="-49763">
        <dgm:presLayoutVars>
          <dgm:bulletEnabled val="1"/>
        </dgm:presLayoutVars>
      </dgm:prSet>
      <dgm:spPr/>
      <dgm:t>
        <a:bodyPr/>
        <a:lstStyle/>
        <a:p>
          <a:endParaRPr lang="en-US"/>
        </a:p>
      </dgm:t>
    </dgm:pt>
    <dgm:pt modelId="{3651388A-EA89-4BAF-BD30-11EFF25AFCEB}" type="pres">
      <dgm:prSet presAssocID="{1642CFE8-D0FD-4CD6-AD23-0DDE5D9DB797}" presName="sibTrans" presStyleLbl="sibTrans2D1" presStyleIdx="6" presStyleCnt="8"/>
      <dgm:spPr/>
    </dgm:pt>
    <dgm:pt modelId="{06747103-69CB-4A4B-9887-A87C82802635}" type="pres">
      <dgm:prSet presAssocID="{1642CFE8-D0FD-4CD6-AD23-0DDE5D9DB797}" presName="connectorText" presStyleLbl="sibTrans2D1" presStyleIdx="6" presStyleCnt="8"/>
      <dgm:spPr/>
    </dgm:pt>
    <dgm:pt modelId="{11BDC53B-5628-404F-9ADC-29091F0DC6EE}" type="pres">
      <dgm:prSet presAssocID="{F305F39E-95A9-4AAD-A0CC-61D80E17B2A5}" presName="node" presStyleLbl="node1" presStyleIdx="7" presStyleCnt="9" custScaleX="131522" custScaleY="350399" custLinFactX="-6467" custLinFactY="-100000" custLinFactNeighborX="-100000" custLinFactNeighborY="-156407">
        <dgm:presLayoutVars>
          <dgm:bulletEnabled val="1"/>
        </dgm:presLayoutVars>
      </dgm:prSet>
      <dgm:spPr/>
      <dgm:t>
        <a:bodyPr/>
        <a:lstStyle/>
        <a:p>
          <a:endParaRPr lang="en-US"/>
        </a:p>
      </dgm:t>
    </dgm:pt>
    <dgm:pt modelId="{69FEEB14-A277-44AF-A050-E6ACB913E4DA}" type="pres">
      <dgm:prSet presAssocID="{2D28CD59-B74A-4AFC-A5C3-CB4C3052EFA9}" presName="sibTrans" presStyleLbl="sibTrans2D1" presStyleIdx="7" presStyleCnt="8"/>
      <dgm:spPr/>
    </dgm:pt>
    <dgm:pt modelId="{F365AAD1-C77D-4E39-9CFE-7F927B95922D}" type="pres">
      <dgm:prSet presAssocID="{2D28CD59-B74A-4AFC-A5C3-CB4C3052EFA9}" presName="connectorText" presStyleLbl="sibTrans2D1" presStyleIdx="7" presStyleCnt="8"/>
      <dgm:spPr/>
    </dgm:pt>
    <dgm:pt modelId="{21DDCAC7-2CD7-4103-9C63-7B75B6772A0A}" type="pres">
      <dgm:prSet presAssocID="{154F7919-21EA-415E-BCDC-BA6B618FFEC1}" presName="node" presStyleLbl="node1" presStyleIdx="8" presStyleCnt="9" custScaleX="79458" custScaleY="173773" custLinFactX="77925" custLinFactY="-100000" custLinFactNeighborX="100000" custLinFactNeighborY="-154199">
        <dgm:presLayoutVars>
          <dgm:bulletEnabled val="1"/>
        </dgm:presLayoutVars>
      </dgm:prSet>
      <dgm:spPr/>
      <dgm:t>
        <a:bodyPr/>
        <a:lstStyle/>
        <a:p>
          <a:endParaRPr lang="en-US"/>
        </a:p>
      </dgm:t>
    </dgm:pt>
  </dgm:ptLst>
  <dgm:cxnLst>
    <dgm:cxn modelId="{3A85ED34-BB0B-4003-95FF-1CA44639239C}" type="presOf" srcId="{B2C9C068-4E3B-43B8-AB0C-19CC08E72D2C}" destId="{DBF97DDD-CF90-4FE7-A030-6C8755710791}" srcOrd="1" destOrd="0" presId="urn:microsoft.com/office/officeart/2005/8/layout/process5"/>
    <dgm:cxn modelId="{D2D82224-23BA-4005-9DA6-E45273BE05A6}" type="presOf" srcId="{2D28CD59-B74A-4AFC-A5C3-CB4C3052EFA9}" destId="{69FEEB14-A277-44AF-A050-E6ACB913E4DA}" srcOrd="0" destOrd="0" presId="urn:microsoft.com/office/officeart/2005/8/layout/process5"/>
    <dgm:cxn modelId="{5B4E398E-2346-488C-84A2-8882FAB403BD}" type="presOf" srcId="{B80F51B3-AF33-441D-930C-8FDE09517A0E}" destId="{B5327D60-19C6-41C5-AC3A-E0D40073EAA2}" srcOrd="0" destOrd="0" presId="urn:microsoft.com/office/officeart/2005/8/layout/process5"/>
    <dgm:cxn modelId="{C17C81BF-4601-48B1-A5BC-24CEABA48342}" srcId="{05B97365-0599-4969-AD7F-A44DEC9360D8}" destId="{0392E07F-C511-4A55-B3AA-A56759B15CDB}" srcOrd="6" destOrd="0" parTransId="{B1DCD34D-7F19-43F6-AC93-79EF1ED76798}" sibTransId="{1642CFE8-D0FD-4CD6-AD23-0DDE5D9DB797}"/>
    <dgm:cxn modelId="{812853D5-857D-431B-BE9E-E493AC4EFE3D}" type="presOf" srcId="{4EAE548A-E6D9-4D03-95B8-2A87FECF7E85}" destId="{E763A3D7-746A-44EA-BBDA-816D07E7DED2}" srcOrd="1" destOrd="0" presId="urn:microsoft.com/office/officeart/2005/8/layout/process5"/>
    <dgm:cxn modelId="{A2F621D5-1476-4457-8C86-6D14954AA4CB}" srcId="{DA625B04-6940-4531-B031-EA9A47B90D7F}" destId="{154DD77C-9E11-4CCB-AB4C-95D4738D439D}" srcOrd="5" destOrd="0" parTransId="{305AF1C5-6385-4B33-AF18-439D24799531}" sibTransId="{EB40CC09-3BF0-4E53-B09D-544A5AB1901C}"/>
    <dgm:cxn modelId="{3BD1F865-DB7C-412A-AB78-48702A07027E}" type="presOf" srcId="{154DD77C-9E11-4CCB-AB4C-95D4738D439D}" destId="{3863A4F4-6A6A-47AF-B6C7-3C7B5E0921BC}" srcOrd="0" destOrd="6" presId="urn:microsoft.com/office/officeart/2005/8/layout/process5"/>
    <dgm:cxn modelId="{4EFC866A-90B1-4DAB-AA39-F5346BEF8C5A}" type="presOf" srcId="{B2AE3FAF-C6D9-426A-B943-A61C65474958}" destId="{CFA722B9-8BED-4CD8-A085-998F2D98A7FC}" srcOrd="0" destOrd="0" presId="urn:microsoft.com/office/officeart/2005/8/layout/process5"/>
    <dgm:cxn modelId="{E4ECCB04-54BD-4BCD-87C3-5010C3FA9F88}" type="presOf" srcId="{CB7F5220-5A32-49D2-BA30-EABF9E90DEBD}" destId="{3863A4F4-6A6A-47AF-B6C7-3C7B5E0921BC}" srcOrd="0" destOrd="3" presId="urn:microsoft.com/office/officeart/2005/8/layout/process5"/>
    <dgm:cxn modelId="{63403C57-4514-4A6C-9AA4-71527123FC00}" srcId="{05B97365-0599-4969-AD7F-A44DEC9360D8}" destId="{B80F51B3-AF33-441D-930C-8FDE09517A0E}" srcOrd="2" destOrd="0" parTransId="{BAFBA8BD-3389-4B82-9815-F9095769BA43}" sibTransId="{4EAE548A-E6D9-4D03-95B8-2A87FECF7E85}"/>
    <dgm:cxn modelId="{EE7D409C-EC34-4B62-8480-E634959DADA8}" type="presOf" srcId="{DA625B04-6940-4531-B031-EA9A47B90D7F}" destId="{3863A4F4-6A6A-47AF-B6C7-3C7B5E0921BC}" srcOrd="0" destOrd="0" presId="urn:microsoft.com/office/officeart/2005/8/layout/process5"/>
    <dgm:cxn modelId="{C443B13D-4C10-41A9-A00E-577E833CD406}" srcId="{05B97365-0599-4969-AD7F-A44DEC9360D8}" destId="{9E06C014-B67A-462D-A738-5C36D8CBF0DD}" srcOrd="1" destOrd="0" parTransId="{1D0C4CB2-BD3B-4044-BD4A-978FAA36C08A}" sibTransId="{E9664F1E-775C-4CE7-BB87-6539E1976A51}"/>
    <dgm:cxn modelId="{A7754252-7E0A-4688-9508-099363E52239}" srcId="{DA625B04-6940-4531-B031-EA9A47B90D7F}" destId="{78D2B3C7-37FA-4519-8223-43DA94A9338B}" srcOrd="3" destOrd="0" parTransId="{4673CE6A-9D75-4B55-9408-407C6640B9FB}" sibTransId="{5857ABFD-A8CB-4448-A13A-1C518811C4FC}"/>
    <dgm:cxn modelId="{5FBAAB44-0910-472E-8302-D8C79B150F0D}" srcId="{DA625B04-6940-4531-B031-EA9A47B90D7F}" destId="{7843A636-875C-4EB5-8F9E-BCB9485220FE}" srcOrd="4" destOrd="0" parTransId="{3C8CC364-45CD-4FDB-9121-A4FAE2C3B64F}" sibTransId="{53156FDF-A5F6-43B6-B757-A4FFA8825F86}"/>
    <dgm:cxn modelId="{8B1A1F87-3E8F-45C1-8F6F-8F9C29638019}" type="presOf" srcId="{1642CFE8-D0FD-4CD6-AD23-0DDE5D9DB797}" destId="{06747103-69CB-4A4B-9887-A87C82802635}" srcOrd="1" destOrd="0" presId="urn:microsoft.com/office/officeart/2005/8/layout/process5"/>
    <dgm:cxn modelId="{A3D36504-123B-45A1-A543-8B513A3D4C95}" srcId="{DA625B04-6940-4531-B031-EA9A47B90D7F}" destId="{499C9887-6E41-43A9-9845-544E107924E4}" srcOrd="6" destOrd="0" parTransId="{C9D67B89-3AF7-45C7-B284-448E433E25E9}" sibTransId="{73CC565C-6AF3-4789-B697-AE955FF8558D}"/>
    <dgm:cxn modelId="{FEE560C7-A79F-4A42-9BCB-7BC22D8C8871}" type="presOf" srcId="{B902955C-B78D-41C6-A442-E9CB963197E5}" destId="{3863A4F4-6A6A-47AF-B6C7-3C7B5E0921BC}" srcOrd="0" destOrd="2" presId="urn:microsoft.com/office/officeart/2005/8/layout/process5"/>
    <dgm:cxn modelId="{60BC7321-DF9F-47FE-9DF2-FA94695BB2B0}" srcId="{05B97365-0599-4969-AD7F-A44DEC9360D8}" destId="{C39E4AAB-2604-4100-ADA6-893D1855130A}" srcOrd="3" destOrd="0" parTransId="{629A36ED-B0F5-49DF-A23F-43A949C8F840}" sibTransId="{87592C52-3E3C-4757-B622-019DE32F404E}"/>
    <dgm:cxn modelId="{8FFB4605-F8E0-4D12-A52D-7DF4D0C44DA9}" type="presOf" srcId="{C39E4AAB-2604-4100-ADA6-893D1855130A}" destId="{A5EFD860-6398-4975-9496-CA9A85D3B90D}" srcOrd="0" destOrd="0" presId="urn:microsoft.com/office/officeart/2005/8/layout/process5"/>
    <dgm:cxn modelId="{60BDEC26-4A9B-4390-9C09-244B7357A231}" type="presOf" srcId="{B3985CF7-177F-4FD6-A541-9C31871CB8AE}" destId="{BFC56CA4-ECF9-479C-A81F-36D40BCB1E0E}" srcOrd="1" destOrd="0" presId="urn:microsoft.com/office/officeart/2005/8/layout/process5"/>
    <dgm:cxn modelId="{C1AE5F0C-69B2-4A26-809A-9CBB823847ED}" srcId="{05B97365-0599-4969-AD7F-A44DEC9360D8}" destId="{DA625B04-6940-4531-B031-EA9A47B90D7F}" srcOrd="0" destOrd="0" parTransId="{7BE2D7B7-503A-4428-BB4F-F4B83EBF966D}" sibTransId="{B3985CF7-177F-4FD6-A541-9C31871CB8AE}"/>
    <dgm:cxn modelId="{D74497AF-C394-40B6-84D4-EFF0918CB4F5}" type="presOf" srcId="{499C9887-6E41-43A9-9845-544E107924E4}" destId="{3863A4F4-6A6A-47AF-B6C7-3C7B5E0921BC}" srcOrd="0" destOrd="7" presId="urn:microsoft.com/office/officeart/2005/8/layout/process5"/>
    <dgm:cxn modelId="{E4F8FF04-0A27-4D87-BFDD-7D0BEF1E90EB}" type="presOf" srcId="{05B97365-0599-4969-AD7F-A44DEC9360D8}" destId="{34BE2CDD-55F0-4775-9751-A27E89148B03}" srcOrd="0" destOrd="0" presId="urn:microsoft.com/office/officeart/2005/8/layout/process5"/>
    <dgm:cxn modelId="{8C89BEB6-BD66-4F26-92DC-E9A2EAB6748B}" type="presOf" srcId="{E9664F1E-775C-4CE7-BB87-6539E1976A51}" destId="{76ACDB84-21E0-4F1A-91F4-297D835B1003}" srcOrd="0" destOrd="0" presId="urn:microsoft.com/office/officeart/2005/8/layout/process5"/>
    <dgm:cxn modelId="{EAE47D25-355E-4CCE-AF0C-3A7A218C1D93}" srcId="{05B97365-0599-4969-AD7F-A44DEC9360D8}" destId="{B2AE3FAF-C6D9-426A-B943-A61C65474958}" srcOrd="4" destOrd="0" parTransId="{0AA78E20-7D63-4BF4-A8AF-0656F7788176}" sibTransId="{B2C9C068-4E3B-43B8-AB0C-19CC08E72D2C}"/>
    <dgm:cxn modelId="{A0DE9085-2642-4EAE-9D61-5854E6EB913B}" type="presOf" srcId="{0392E07F-C511-4A55-B3AA-A56759B15CDB}" destId="{93B7DD96-F59F-4012-8FC9-33BA64DEBA73}" srcOrd="0" destOrd="0" presId="urn:microsoft.com/office/officeart/2005/8/layout/process5"/>
    <dgm:cxn modelId="{7FB2DB52-E508-4ED0-863C-34019719F728}" srcId="{05B97365-0599-4969-AD7F-A44DEC9360D8}" destId="{F305F39E-95A9-4AAD-A0CC-61D80E17B2A5}" srcOrd="7" destOrd="0" parTransId="{C65F7494-9A0A-452B-A4E9-B194D46354AC}" sibTransId="{2D28CD59-B74A-4AFC-A5C3-CB4C3052EFA9}"/>
    <dgm:cxn modelId="{823A8116-98CB-4477-B99F-D0DF04BAE06E}" type="presOf" srcId="{2D28CD59-B74A-4AFC-A5C3-CB4C3052EFA9}" destId="{F365AAD1-C77D-4E39-9CFE-7F927B95922D}" srcOrd="1" destOrd="0" presId="urn:microsoft.com/office/officeart/2005/8/layout/process5"/>
    <dgm:cxn modelId="{A7C8A7DF-52EF-4502-9C01-3917E6877F36}" type="presOf" srcId="{E9664F1E-775C-4CE7-BB87-6539E1976A51}" destId="{0B6C5E20-817E-4B04-A664-73077E59A590}" srcOrd="1" destOrd="0" presId="urn:microsoft.com/office/officeart/2005/8/layout/process5"/>
    <dgm:cxn modelId="{3D3C2842-E2FA-4834-A159-FB67116D02C5}" type="presOf" srcId="{5C3C5B8B-F86E-41F4-BA45-22E6F3746FAD}" destId="{3863A4F4-6A6A-47AF-B6C7-3C7B5E0921BC}" srcOrd="0" destOrd="8" presId="urn:microsoft.com/office/officeart/2005/8/layout/process5"/>
    <dgm:cxn modelId="{11914785-9946-4EFB-8DEF-B4F3643B7BA3}" type="presOf" srcId="{B3985CF7-177F-4FD6-A541-9C31871CB8AE}" destId="{C1929D32-06CE-4AB3-A4D2-60B386F21F08}" srcOrd="0" destOrd="0" presId="urn:microsoft.com/office/officeart/2005/8/layout/process5"/>
    <dgm:cxn modelId="{19F01CB7-2362-4CBF-8766-FA7A1C54DC97}" srcId="{DA625B04-6940-4531-B031-EA9A47B90D7F}" destId="{CB7F5220-5A32-49D2-BA30-EABF9E90DEBD}" srcOrd="2" destOrd="0" parTransId="{E60F1068-557F-4AAB-BC64-78C661A5F9ED}" sibTransId="{0E00AE76-B281-436D-A9B9-6E9B0180EE77}"/>
    <dgm:cxn modelId="{743388BB-BD11-426C-95CB-5537B44B5953}" type="presOf" srcId="{9E06C014-B67A-462D-A738-5C36D8CBF0DD}" destId="{116C33C1-8B7F-48CA-9260-52BC93F5CA1E}" srcOrd="0" destOrd="0" presId="urn:microsoft.com/office/officeart/2005/8/layout/process5"/>
    <dgm:cxn modelId="{46AA3315-97BB-48A6-9A2A-46CFC5FB407A}" type="presOf" srcId="{4EAE548A-E6D9-4D03-95B8-2A87FECF7E85}" destId="{7C27F1BD-134A-4434-BF47-F44ED9DFACFC}" srcOrd="0" destOrd="0" presId="urn:microsoft.com/office/officeart/2005/8/layout/process5"/>
    <dgm:cxn modelId="{3327F1E2-CACB-4F88-8441-AD9EBFA41096}" type="presOf" srcId="{154F7919-21EA-415E-BCDC-BA6B618FFEC1}" destId="{21DDCAC7-2CD7-4103-9C63-7B75B6772A0A}" srcOrd="0" destOrd="0" presId="urn:microsoft.com/office/officeart/2005/8/layout/process5"/>
    <dgm:cxn modelId="{67653B08-1F26-47C0-A2DA-C496932FDD79}" srcId="{05B97365-0599-4969-AD7F-A44DEC9360D8}" destId="{154F7919-21EA-415E-BCDC-BA6B618FFEC1}" srcOrd="8" destOrd="0" parTransId="{520DB210-5E2B-45D1-80F8-E110019ED8B2}" sibTransId="{BF12C074-8319-4057-96CE-1C002A17E9DA}"/>
    <dgm:cxn modelId="{270C1616-7EFF-4A78-9689-E91BAFE1F03F}" type="presOf" srcId="{8DDFB490-12A3-4289-83FF-C8FD14BFCAEE}" destId="{D4B89236-5B84-43EC-BB1B-EF09F4BB6941}" srcOrd="0" destOrd="0" presId="urn:microsoft.com/office/officeart/2005/8/layout/process5"/>
    <dgm:cxn modelId="{DB3E4384-837D-4650-A188-596DF039BDB0}" srcId="{DA625B04-6940-4531-B031-EA9A47B90D7F}" destId="{80C20C64-7956-44EC-A10B-DD0CB84DE59B}" srcOrd="0" destOrd="0" parTransId="{DC43CC96-4C10-42EF-997A-FF597390452A}" sibTransId="{A1500681-A6BD-4DD6-96C9-73C238A7E91C}"/>
    <dgm:cxn modelId="{D3DBF164-39AA-47DC-ACBD-08EAD80D1A1F}" type="presOf" srcId="{7843A636-875C-4EB5-8F9E-BCB9485220FE}" destId="{3863A4F4-6A6A-47AF-B6C7-3C7B5E0921BC}" srcOrd="0" destOrd="5" presId="urn:microsoft.com/office/officeart/2005/8/layout/process5"/>
    <dgm:cxn modelId="{4AF794EA-753F-47A5-AEA2-72AF74EEB0C1}" type="presOf" srcId="{87592C52-3E3C-4757-B622-019DE32F404E}" destId="{B1E2CA98-0B50-48B3-97D7-755EA08CEB60}" srcOrd="1" destOrd="0" presId="urn:microsoft.com/office/officeart/2005/8/layout/process5"/>
    <dgm:cxn modelId="{19139FCB-4489-4AEF-905B-8DD22E0E7970}" srcId="{05B97365-0599-4969-AD7F-A44DEC9360D8}" destId="{1C9F2E5F-4B97-4ADC-81F1-544FEA345701}" srcOrd="5" destOrd="0" parTransId="{9103C40D-9F35-4988-9474-37651621678B}" sibTransId="{8DDFB490-12A3-4289-83FF-C8FD14BFCAEE}"/>
    <dgm:cxn modelId="{CFA40F79-BDFE-4332-9197-67B740B4D69A}" type="presOf" srcId="{8DDFB490-12A3-4289-83FF-C8FD14BFCAEE}" destId="{0511F1B2-B5BA-40F0-B654-644464FBE57A}" srcOrd="1" destOrd="0" presId="urn:microsoft.com/office/officeart/2005/8/layout/process5"/>
    <dgm:cxn modelId="{3B824D84-8AF2-4DD3-A4DC-64732E7CE41B}" type="presOf" srcId="{F305F39E-95A9-4AAD-A0CC-61D80E17B2A5}" destId="{11BDC53B-5628-404F-9ADC-29091F0DC6EE}" srcOrd="0" destOrd="0" presId="urn:microsoft.com/office/officeart/2005/8/layout/process5"/>
    <dgm:cxn modelId="{FD0EA662-1BF6-42B9-B518-6D5A6317229F}" type="presOf" srcId="{B2C9C068-4E3B-43B8-AB0C-19CC08E72D2C}" destId="{048AADDE-2A92-4FB9-AEF2-AADB5A6D4F53}" srcOrd="0" destOrd="0" presId="urn:microsoft.com/office/officeart/2005/8/layout/process5"/>
    <dgm:cxn modelId="{D34B4AB1-246F-4827-B6DF-E87A8B4122DF}" srcId="{DA625B04-6940-4531-B031-EA9A47B90D7F}" destId="{5C3C5B8B-F86E-41F4-BA45-22E6F3746FAD}" srcOrd="7" destOrd="0" parTransId="{C0096072-D879-424C-9A79-EF93B1D14143}" sibTransId="{8C6B3593-E7BD-4588-9EBA-8E33E9512A8D}"/>
    <dgm:cxn modelId="{0B8EE74D-D07F-44BB-A39E-ED4DCC7CCA8E}" type="presOf" srcId="{78D2B3C7-37FA-4519-8223-43DA94A9338B}" destId="{3863A4F4-6A6A-47AF-B6C7-3C7B5E0921BC}" srcOrd="0" destOrd="4" presId="urn:microsoft.com/office/officeart/2005/8/layout/process5"/>
    <dgm:cxn modelId="{BC16A5E9-5883-4E94-8E77-D468135C094D}" srcId="{DA625B04-6940-4531-B031-EA9A47B90D7F}" destId="{B902955C-B78D-41C6-A442-E9CB963197E5}" srcOrd="1" destOrd="0" parTransId="{45E93EA6-8642-4B85-9CD1-32813438CAFB}" sibTransId="{7D02B481-4DAD-4338-95F0-F05A14A05241}"/>
    <dgm:cxn modelId="{E877C313-92A2-4462-AC94-72F3402B779D}" type="presOf" srcId="{1642CFE8-D0FD-4CD6-AD23-0DDE5D9DB797}" destId="{3651388A-EA89-4BAF-BD30-11EFF25AFCEB}" srcOrd="0" destOrd="0" presId="urn:microsoft.com/office/officeart/2005/8/layout/process5"/>
    <dgm:cxn modelId="{DE76D1F5-7BD1-402C-A84D-272FF4E544A2}" type="presOf" srcId="{87592C52-3E3C-4757-B622-019DE32F404E}" destId="{F41754E1-286E-457B-A85C-BD22EE0BA5D7}" srcOrd="0" destOrd="0" presId="urn:microsoft.com/office/officeart/2005/8/layout/process5"/>
    <dgm:cxn modelId="{E9571181-0388-4F94-8A8B-AC9514530CFE}" type="presOf" srcId="{1C9F2E5F-4B97-4ADC-81F1-544FEA345701}" destId="{C54AB44B-CD31-4EAA-8AA3-561DB9803361}" srcOrd="0" destOrd="0" presId="urn:microsoft.com/office/officeart/2005/8/layout/process5"/>
    <dgm:cxn modelId="{925F36A9-BB69-4297-9822-44D6DC3F9504}" type="presOf" srcId="{80C20C64-7956-44EC-A10B-DD0CB84DE59B}" destId="{3863A4F4-6A6A-47AF-B6C7-3C7B5E0921BC}" srcOrd="0" destOrd="1" presId="urn:microsoft.com/office/officeart/2005/8/layout/process5"/>
    <dgm:cxn modelId="{5E684791-A198-49FC-8DD3-706F311ECF1C}" type="presParOf" srcId="{34BE2CDD-55F0-4775-9751-A27E89148B03}" destId="{3863A4F4-6A6A-47AF-B6C7-3C7B5E0921BC}" srcOrd="0" destOrd="0" presId="urn:microsoft.com/office/officeart/2005/8/layout/process5"/>
    <dgm:cxn modelId="{132BDBF3-A0B2-4E1C-8358-788BE9274AB9}" type="presParOf" srcId="{34BE2CDD-55F0-4775-9751-A27E89148B03}" destId="{C1929D32-06CE-4AB3-A4D2-60B386F21F08}" srcOrd="1" destOrd="0" presId="urn:microsoft.com/office/officeart/2005/8/layout/process5"/>
    <dgm:cxn modelId="{ED1BD2F9-AC8A-444B-A560-BBE6D663ACD0}" type="presParOf" srcId="{C1929D32-06CE-4AB3-A4D2-60B386F21F08}" destId="{BFC56CA4-ECF9-479C-A81F-36D40BCB1E0E}" srcOrd="0" destOrd="0" presId="urn:microsoft.com/office/officeart/2005/8/layout/process5"/>
    <dgm:cxn modelId="{B2893D68-528A-4DF4-BBF4-FA3DDDB85577}" type="presParOf" srcId="{34BE2CDD-55F0-4775-9751-A27E89148B03}" destId="{116C33C1-8B7F-48CA-9260-52BC93F5CA1E}" srcOrd="2" destOrd="0" presId="urn:microsoft.com/office/officeart/2005/8/layout/process5"/>
    <dgm:cxn modelId="{34B236AD-C9FA-40E6-A77D-D03A433A4E57}" type="presParOf" srcId="{34BE2CDD-55F0-4775-9751-A27E89148B03}" destId="{76ACDB84-21E0-4F1A-91F4-297D835B1003}" srcOrd="3" destOrd="0" presId="urn:microsoft.com/office/officeart/2005/8/layout/process5"/>
    <dgm:cxn modelId="{9646C5F0-E903-4AB1-AAB9-912C7FF597CD}" type="presParOf" srcId="{76ACDB84-21E0-4F1A-91F4-297D835B1003}" destId="{0B6C5E20-817E-4B04-A664-73077E59A590}" srcOrd="0" destOrd="0" presId="urn:microsoft.com/office/officeart/2005/8/layout/process5"/>
    <dgm:cxn modelId="{12027E61-FA1D-4FBC-9B41-443BEF1D0949}" type="presParOf" srcId="{34BE2CDD-55F0-4775-9751-A27E89148B03}" destId="{B5327D60-19C6-41C5-AC3A-E0D40073EAA2}" srcOrd="4" destOrd="0" presId="urn:microsoft.com/office/officeart/2005/8/layout/process5"/>
    <dgm:cxn modelId="{1C72A3A4-6CD1-40BF-AAC6-A10206ACDD78}" type="presParOf" srcId="{34BE2CDD-55F0-4775-9751-A27E89148B03}" destId="{7C27F1BD-134A-4434-BF47-F44ED9DFACFC}" srcOrd="5" destOrd="0" presId="urn:microsoft.com/office/officeart/2005/8/layout/process5"/>
    <dgm:cxn modelId="{D05F9FC4-D1F2-4374-B92D-E8F23008709C}" type="presParOf" srcId="{7C27F1BD-134A-4434-BF47-F44ED9DFACFC}" destId="{E763A3D7-746A-44EA-BBDA-816D07E7DED2}" srcOrd="0" destOrd="0" presId="urn:microsoft.com/office/officeart/2005/8/layout/process5"/>
    <dgm:cxn modelId="{EAEFD2BC-DDFF-4D70-A36D-5FEED5BBAA55}" type="presParOf" srcId="{34BE2CDD-55F0-4775-9751-A27E89148B03}" destId="{A5EFD860-6398-4975-9496-CA9A85D3B90D}" srcOrd="6" destOrd="0" presId="urn:microsoft.com/office/officeart/2005/8/layout/process5"/>
    <dgm:cxn modelId="{6F547D63-84AD-4442-B6D1-83D1778E9835}" type="presParOf" srcId="{34BE2CDD-55F0-4775-9751-A27E89148B03}" destId="{F41754E1-286E-457B-A85C-BD22EE0BA5D7}" srcOrd="7" destOrd="0" presId="urn:microsoft.com/office/officeart/2005/8/layout/process5"/>
    <dgm:cxn modelId="{47F8B1C5-EDE0-49AF-9376-1F8B4AB81F35}" type="presParOf" srcId="{F41754E1-286E-457B-A85C-BD22EE0BA5D7}" destId="{B1E2CA98-0B50-48B3-97D7-755EA08CEB60}" srcOrd="0" destOrd="0" presId="urn:microsoft.com/office/officeart/2005/8/layout/process5"/>
    <dgm:cxn modelId="{D642E7D1-2889-4C20-909D-637B07967160}" type="presParOf" srcId="{34BE2CDD-55F0-4775-9751-A27E89148B03}" destId="{CFA722B9-8BED-4CD8-A085-998F2D98A7FC}" srcOrd="8" destOrd="0" presId="urn:microsoft.com/office/officeart/2005/8/layout/process5"/>
    <dgm:cxn modelId="{2B9B34A6-35F4-4E7C-B20D-D7DF62D0AC9F}" type="presParOf" srcId="{34BE2CDD-55F0-4775-9751-A27E89148B03}" destId="{048AADDE-2A92-4FB9-AEF2-AADB5A6D4F53}" srcOrd="9" destOrd="0" presId="urn:microsoft.com/office/officeart/2005/8/layout/process5"/>
    <dgm:cxn modelId="{EBC7A553-41E9-4A72-828A-140366DE9DEF}" type="presParOf" srcId="{048AADDE-2A92-4FB9-AEF2-AADB5A6D4F53}" destId="{DBF97DDD-CF90-4FE7-A030-6C8755710791}" srcOrd="0" destOrd="0" presId="urn:microsoft.com/office/officeart/2005/8/layout/process5"/>
    <dgm:cxn modelId="{3DB060BD-32DE-45AE-BEA4-F7DA0420CEDD}" type="presParOf" srcId="{34BE2CDD-55F0-4775-9751-A27E89148B03}" destId="{C54AB44B-CD31-4EAA-8AA3-561DB9803361}" srcOrd="10" destOrd="0" presId="urn:microsoft.com/office/officeart/2005/8/layout/process5"/>
    <dgm:cxn modelId="{0F472EAE-E269-473F-9321-5865176F88C1}" type="presParOf" srcId="{34BE2CDD-55F0-4775-9751-A27E89148B03}" destId="{D4B89236-5B84-43EC-BB1B-EF09F4BB6941}" srcOrd="11" destOrd="0" presId="urn:microsoft.com/office/officeart/2005/8/layout/process5"/>
    <dgm:cxn modelId="{76FAEA8D-4AE9-44E6-B045-65B8F11666A9}" type="presParOf" srcId="{D4B89236-5B84-43EC-BB1B-EF09F4BB6941}" destId="{0511F1B2-B5BA-40F0-B654-644464FBE57A}" srcOrd="0" destOrd="0" presId="urn:microsoft.com/office/officeart/2005/8/layout/process5"/>
    <dgm:cxn modelId="{0D785630-C636-4029-9828-F17D9880EFB0}" type="presParOf" srcId="{34BE2CDD-55F0-4775-9751-A27E89148B03}" destId="{93B7DD96-F59F-4012-8FC9-33BA64DEBA73}" srcOrd="12" destOrd="0" presId="urn:microsoft.com/office/officeart/2005/8/layout/process5"/>
    <dgm:cxn modelId="{3ACD1FA8-F0A3-4E29-AF7D-4475C5B48C4E}" type="presParOf" srcId="{34BE2CDD-55F0-4775-9751-A27E89148B03}" destId="{3651388A-EA89-4BAF-BD30-11EFF25AFCEB}" srcOrd="13" destOrd="0" presId="urn:microsoft.com/office/officeart/2005/8/layout/process5"/>
    <dgm:cxn modelId="{EE1F6734-77F6-40F3-B1B1-D1F5243D913B}" type="presParOf" srcId="{3651388A-EA89-4BAF-BD30-11EFF25AFCEB}" destId="{06747103-69CB-4A4B-9887-A87C82802635}" srcOrd="0" destOrd="0" presId="urn:microsoft.com/office/officeart/2005/8/layout/process5"/>
    <dgm:cxn modelId="{645AA3FE-8C9C-4639-BEB8-E652CBD5E60B}" type="presParOf" srcId="{34BE2CDD-55F0-4775-9751-A27E89148B03}" destId="{11BDC53B-5628-404F-9ADC-29091F0DC6EE}" srcOrd="14" destOrd="0" presId="urn:microsoft.com/office/officeart/2005/8/layout/process5"/>
    <dgm:cxn modelId="{D02C0D1C-D6F7-4CEA-ACDF-338088C19774}" type="presParOf" srcId="{34BE2CDD-55F0-4775-9751-A27E89148B03}" destId="{69FEEB14-A277-44AF-A050-E6ACB913E4DA}" srcOrd="15" destOrd="0" presId="urn:microsoft.com/office/officeart/2005/8/layout/process5"/>
    <dgm:cxn modelId="{014F509F-9E40-4035-AD07-CAE41B3E7764}" type="presParOf" srcId="{69FEEB14-A277-44AF-A050-E6ACB913E4DA}" destId="{F365AAD1-C77D-4E39-9CFE-7F927B95922D}" srcOrd="0" destOrd="0" presId="urn:microsoft.com/office/officeart/2005/8/layout/process5"/>
    <dgm:cxn modelId="{FD1A837E-6B90-4BDB-A72F-A3743C3DEFC7}" type="presParOf" srcId="{34BE2CDD-55F0-4775-9751-A27E89148B03}" destId="{21DDCAC7-2CD7-4103-9C63-7B75B6772A0A}" srcOrd="16" destOrd="0" presId="urn:microsoft.com/office/officeart/2005/8/layout/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63A4F4-6A6A-47AF-B6C7-3C7B5E0921BC}">
      <dsp:nvSpPr>
        <dsp:cNvPr id="0" name=""/>
        <dsp:cNvSpPr/>
      </dsp:nvSpPr>
      <dsp:spPr>
        <a:xfrm>
          <a:off x="57144" y="190503"/>
          <a:ext cx="1751520" cy="1050912"/>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endParaRPr lang="en-US" sz="1000" kern="1200"/>
        </a:p>
        <a:p>
          <a:pPr marL="57150" lvl="1" indent="-57150" algn="l" defTabSz="311150">
            <a:lnSpc>
              <a:spcPct val="90000"/>
            </a:lnSpc>
            <a:spcBef>
              <a:spcPct val="0"/>
            </a:spcBef>
            <a:spcAft>
              <a:spcPct val="15000"/>
            </a:spcAft>
            <a:buChar char="••"/>
          </a:pPr>
          <a:r>
            <a:rPr lang="en-US" sz="700" kern="1200"/>
            <a:t>7pm - 2am (EST) </a:t>
          </a:r>
          <a:r>
            <a:rPr lang="en-US" sz="700" kern="1200"/>
            <a:t>AUDJPY</a:t>
          </a:r>
        </a:p>
        <a:p>
          <a:pPr marL="57150" lvl="1" indent="-57150" algn="l" defTabSz="311150">
            <a:lnSpc>
              <a:spcPct val="90000"/>
            </a:lnSpc>
            <a:spcBef>
              <a:spcPct val="0"/>
            </a:spcBef>
            <a:spcAft>
              <a:spcPct val="15000"/>
            </a:spcAft>
            <a:buChar char="••"/>
          </a:pPr>
          <a:r>
            <a:rPr lang="en-US" sz="700" kern="1200"/>
            <a:t>2am - 3am (EST) EURJPY</a:t>
          </a:r>
        </a:p>
        <a:p>
          <a:pPr marL="57150" lvl="1" indent="-57150" algn="l" defTabSz="311150">
            <a:lnSpc>
              <a:spcPct val="90000"/>
            </a:lnSpc>
            <a:spcBef>
              <a:spcPct val="0"/>
            </a:spcBef>
            <a:spcAft>
              <a:spcPct val="15000"/>
            </a:spcAft>
            <a:buChar char="••"/>
          </a:pPr>
          <a:r>
            <a:rPr lang="en-US" sz="700" kern="1200"/>
            <a:t>3am - 8am (EST) EURJPY / GBPJPY</a:t>
          </a:r>
        </a:p>
        <a:p>
          <a:pPr marL="57150" lvl="1" indent="-57150" algn="l" defTabSz="311150">
            <a:lnSpc>
              <a:spcPct val="90000"/>
            </a:lnSpc>
            <a:spcBef>
              <a:spcPct val="0"/>
            </a:spcBef>
            <a:spcAft>
              <a:spcPct val="15000"/>
            </a:spcAft>
            <a:buChar char="••"/>
          </a:pPr>
          <a:r>
            <a:rPr lang="en-US" sz="700" kern="1200"/>
            <a:t>8am-12pm (EST) EURUSD / GBPUSD</a:t>
          </a:r>
        </a:p>
        <a:p>
          <a:pPr marL="57150" lvl="1" indent="-57150" algn="l" defTabSz="311150">
            <a:lnSpc>
              <a:spcPct val="90000"/>
            </a:lnSpc>
            <a:spcBef>
              <a:spcPct val="0"/>
            </a:spcBef>
            <a:spcAft>
              <a:spcPct val="15000"/>
            </a:spcAft>
            <a:buChar char="••"/>
          </a:pPr>
          <a:r>
            <a:rPr lang="en-US" sz="700" kern="1200"/>
            <a:t>12pm - 4pm (EST) EURUSD -or- GBPUSD / Break</a:t>
          </a:r>
        </a:p>
        <a:p>
          <a:pPr marL="57150" lvl="1" indent="-57150" algn="l" defTabSz="311150">
            <a:lnSpc>
              <a:spcPct val="90000"/>
            </a:lnSpc>
            <a:spcBef>
              <a:spcPct val="0"/>
            </a:spcBef>
            <a:spcAft>
              <a:spcPct val="15000"/>
            </a:spcAft>
            <a:buChar char="••"/>
          </a:pPr>
          <a:r>
            <a:rPr lang="en-US" sz="700" kern="1200"/>
            <a:t>4pm - 7pm (EST) AUDJPY / AUDUSD</a:t>
          </a:r>
        </a:p>
        <a:p>
          <a:pPr marL="57150" lvl="1" indent="-57150" algn="l" defTabSz="311150">
            <a:lnSpc>
              <a:spcPct val="90000"/>
            </a:lnSpc>
            <a:spcBef>
              <a:spcPct val="0"/>
            </a:spcBef>
            <a:spcAft>
              <a:spcPct val="15000"/>
            </a:spcAft>
            <a:buChar char="••"/>
          </a:pPr>
          <a:endParaRPr lang="en-US" sz="700" kern="1200"/>
        </a:p>
        <a:p>
          <a:pPr marL="57150" lvl="1" indent="-57150" algn="l" defTabSz="355600">
            <a:lnSpc>
              <a:spcPct val="90000"/>
            </a:lnSpc>
            <a:spcBef>
              <a:spcPct val="0"/>
            </a:spcBef>
            <a:spcAft>
              <a:spcPct val="15000"/>
            </a:spcAft>
            <a:buChar char="••"/>
          </a:pPr>
          <a:endParaRPr lang="en-US" sz="800" kern="1200"/>
        </a:p>
      </dsp:txBody>
      <dsp:txXfrm>
        <a:off x="87924" y="221283"/>
        <a:ext cx="1689960" cy="989352"/>
      </dsp:txXfrm>
    </dsp:sp>
    <dsp:sp modelId="{C1929D32-06CE-4AB3-A4D2-60B386F21F08}">
      <dsp:nvSpPr>
        <dsp:cNvPr id="0" name=""/>
        <dsp:cNvSpPr/>
      </dsp:nvSpPr>
      <dsp:spPr>
        <a:xfrm rot="21310478">
          <a:off x="1919320" y="404158"/>
          <a:ext cx="268675"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919463" y="494423"/>
        <a:ext cx="188073" cy="260627"/>
      </dsp:txXfrm>
    </dsp:sp>
    <dsp:sp modelId="{116C33C1-8B7F-48CA-9260-52BC93F5CA1E}">
      <dsp:nvSpPr>
        <dsp:cNvPr id="0" name=""/>
        <dsp:cNvSpPr/>
      </dsp:nvSpPr>
      <dsp:spPr>
        <a:xfrm>
          <a:off x="2313804" y="0"/>
          <a:ext cx="1751520" cy="1050912"/>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See if the 50/35 are showing direction. If not, stop at this step and wait until they are. </a:t>
          </a:r>
        </a:p>
      </dsp:txBody>
      <dsp:txXfrm>
        <a:off x="2344584" y="30780"/>
        <a:ext cx="1689960" cy="989352"/>
      </dsp:txXfrm>
    </dsp:sp>
    <dsp:sp modelId="{76ACDB84-21E0-4F1A-91F4-297D835B1003}">
      <dsp:nvSpPr>
        <dsp:cNvPr id="0" name=""/>
        <dsp:cNvSpPr/>
      </dsp:nvSpPr>
      <dsp:spPr>
        <a:xfrm>
          <a:off x="4243334" y="308267"/>
          <a:ext cx="428840"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4243334" y="395142"/>
        <a:ext cx="300188" cy="260627"/>
      </dsp:txXfrm>
    </dsp:sp>
    <dsp:sp modelId="{B5327D60-19C6-41C5-AC3A-E0D40073EAA2}">
      <dsp:nvSpPr>
        <dsp:cNvPr id="0" name=""/>
        <dsp:cNvSpPr/>
      </dsp:nvSpPr>
      <dsp:spPr>
        <a:xfrm>
          <a:off x="4874457" y="0"/>
          <a:ext cx="1751520" cy="1050912"/>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Check for their distance apart. The farther apart, the weaker the signals will be so be careful. The closer they are, the stronger the signals.</a:t>
          </a:r>
        </a:p>
      </dsp:txBody>
      <dsp:txXfrm>
        <a:off x="4905237" y="30780"/>
        <a:ext cx="1689960" cy="989352"/>
      </dsp:txXfrm>
    </dsp:sp>
    <dsp:sp modelId="{7C27F1BD-134A-4434-BF47-F44ED9DFACFC}">
      <dsp:nvSpPr>
        <dsp:cNvPr id="0" name=""/>
        <dsp:cNvSpPr/>
      </dsp:nvSpPr>
      <dsp:spPr>
        <a:xfrm rot="5316886">
          <a:off x="5640655" y="1067790"/>
          <a:ext cx="255858"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5637343" y="1157061"/>
        <a:ext cx="260627" cy="179101"/>
      </dsp:txXfrm>
    </dsp:sp>
    <dsp:sp modelId="{A5EFD860-6398-4975-9496-CA9A85D3B90D}">
      <dsp:nvSpPr>
        <dsp:cNvPr id="0" name=""/>
        <dsp:cNvSpPr/>
      </dsp:nvSpPr>
      <dsp:spPr>
        <a:xfrm>
          <a:off x="4915979" y="1533523"/>
          <a:ext cx="1751520" cy="1417975"/>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With direction established and strength of upcoming signals set, first keep an eye out for 35/50 touches. These are, for what it's worth, the best signals to take. </a:t>
          </a:r>
        </a:p>
      </dsp:txBody>
      <dsp:txXfrm>
        <a:off x="4957510" y="1575054"/>
        <a:ext cx="1668458" cy="1334913"/>
      </dsp:txXfrm>
    </dsp:sp>
    <dsp:sp modelId="{F41754E1-286E-457B-A85C-BD22EE0BA5D7}">
      <dsp:nvSpPr>
        <dsp:cNvPr id="0" name=""/>
        <dsp:cNvSpPr/>
      </dsp:nvSpPr>
      <dsp:spPr>
        <a:xfrm rot="11098068">
          <a:off x="4517921" y="1926854"/>
          <a:ext cx="281979"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4602356" y="2017392"/>
        <a:ext cx="197385" cy="260627"/>
      </dsp:txXfrm>
    </dsp:sp>
    <dsp:sp modelId="{CFA722B9-8BED-4CD8-A085-998F2D98A7FC}">
      <dsp:nvSpPr>
        <dsp:cNvPr id="0" name=""/>
        <dsp:cNvSpPr/>
      </dsp:nvSpPr>
      <dsp:spPr>
        <a:xfrm>
          <a:off x="2470985" y="1409700"/>
          <a:ext cx="1914955" cy="1254779"/>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If none of them seem near, check for the slope of the 10 EMA. If it's steep (at least 45 degrees), check for touches against it. If  they show up, take them.</a:t>
          </a:r>
        </a:p>
      </dsp:txBody>
      <dsp:txXfrm>
        <a:off x="2507736" y="1446451"/>
        <a:ext cx="1841453" cy="1181277"/>
      </dsp:txXfrm>
    </dsp:sp>
    <dsp:sp modelId="{048AADDE-2A92-4FB9-AEF2-AADB5A6D4F53}">
      <dsp:nvSpPr>
        <dsp:cNvPr id="0" name=""/>
        <dsp:cNvSpPr/>
      </dsp:nvSpPr>
      <dsp:spPr>
        <a:xfrm rot="10686639">
          <a:off x="2101216" y="1859371"/>
          <a:ext cx="261395"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179613" y="1944953"/>
        <a:ext cx="182977" cy="260627"/>
      </dsp:txXfrm>
    </dsp:sp>
    <dsp:sp modelId="{C54AB44B-CD31-4EAA-8AA3-561DB9803361}">
      <dsp:nvSpPr>
        <dsp:cNvPr id="0" name=""/>
        <dsp:cNvSpPr/>
      </dsp:nvSpPr>
      <dsp:spPr>
        <a:xfrm>
          <a:off x="226534" y="1588367"/>
          <a:ext cx="1751520" cy="1050912"/>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Once an entry is established, initial stop settings should be relatively tight. Your main goal and biggest battle will be to aggressively move stop into breakeven territory as quickly as possible without choking out your trade. </a:t>
          </a:r>
        </a:p>
      </dsp:txBody>
      <dsp:txXfrm>
        <a:off x="257314" y="1619147"/>
        <a:ext cx="1689960" cy="989352"/>
      </dsp:txXfrm>
    </dsp:sp>
    <dsp:sp modelId="{D4B89236-5B84-43EC-BB1B-EF09F4BB6941}">
      <dsp:nvSpPr>
        <dsp:cNvPr id="0" name=""/>
        <dsp:cNvSpPr/>
      </dsp:nvSpPr>
      <dsp:spPr>
        <a:xfrm rot="5648512">
          <a:off x="839559" y="2784345"/>
          <a:ext cx="396901"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911996" y="2803238"/>
        <a:ext cx="260627" cy="277831"/>
      </dsp:txXfrm>
    </dsp:sp>
    <dsp:sp modelId="{93B7DD96-F59F-4012-8FC9-33BA64DEBA73}">
      <dsp:nvSpPr>
        <dsp:cNvPr id="0" name=""/>
        <dsp:cNvSpPr/>
      </dsp:nvSpPr>
      <dsp:spPr>
        <a:xfrm>
          <a:off x="96343" y="3386195"/>
          <a:ext cx="1751520" cy="1050912"/>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Now that you're in the trade, price action and round number levels become even more relevant. Watch for these signs of slowdown and reversal as cues to plan your exit. </a:t>
          </a:r>
        </a:p>
      </dsp:txBody>
      <dsp:txXfrm>
        <a:off x="127123" y="3416975"/>
        <a:ext cx="1689960" cy="989352"/>
      </dsp:txXfrm>
    </dsp:sp>
    <dsp:sp modelId="{3651388A-EA89-4BAF-BD30-11EFF25AFCEB}">
      <dsp:nvSpPr>
        <dsp:cNvPr id="0" name=""/>
        <dsp:cNvSpPr/>
      </dsp:nvSpPr>
      <dsp:spPr>
        <a:xfrm rot="1178456">
          <a:off x="1945996" y="4090427"/>
          <a:ext cx="271192"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948363" y="4163629"/>
        <a:ext cx="189834" cy="260627"/>
      </dsp:txXfrm>
    </dsp:sp>
    <dsp:sp modelId="{11BDC53B-5628-404F-9ADC-29091F0DC6EE}">
      <dsp:nvSpPr>
        <dsp:cNvPr id="0" name=""/>
        <dsp:cNvSpPr/>
      </dsp:nvSpPr>
      <dsp:spPr>
        <a:xfrm>
          <a:off x="2329778" y="2966068"/>
          <a:ext cx="2303635" cy="3682387"/>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Exit strategy / trade management is probably where the most variance lies and room for personal touch kicks in. Don't be afraid to take profits as early as you see fit from the PA and RN levels. Rolling stops is a great way to lock in some profits without cutting them too short, the drawback being likely less end profits from moves against you triggering the order. </a:t>
          </a:r>
        </a:p>
        <a:p>
          <a:pPr lvl="0" algn="ctr" defTabSz="622300">
            <a:lnSpc>
              <a:spcPct val="90000"/>
            </a:lnSpc>
            <a:spcBef>
              <a:spcPct val="0"/>
            </a:spcBef>
            <a:spcAft>
              <a:spcPct val="35000"/>
            </a:spcAft>
          </a:pPr>
          <a:r>
            <a:rPr lang="en-US" sz="1400" kern="1200"/>
            <a:t>A combination of the two suits some people as well.</a:t>
          </a:r>
        </a:p>
      </dsp:txBody>
      <dsp:txXfrm>
        <a:off x="2397249" y="3033539"/>
        <a:ext cx="2168693" cy="3547445"/>
      </dsp:txXfrm>
    </dsp:sp>
    <dsp:sp modelId="{69FEEB14-A277-44AF-A050-E6ACB913E4DA}">
      <dsp:nvSpPr>
        <dsp:cNvPr id="0" name=""/>
        <dsp:cNvSpPr/>
      </dsp:nvSpPr>
      <dsp:spPr>
        <a:xfrm rot="32787">
          <a:off x="4762154" y="4603766"/>
          <a:ext cx="310179" cy="434377"/>
        </a:xfrm>
        <a:prstGeom prst="rightArrow">
          <a:avLst>
            <a:gd name="adj1" fmla="val 60000"/>
            <a:gd name="adj2" fmla="val 50000"/>
          </a:avLst>
        </a:prstGeom>
        <a:solidFill>
          <a:schemeClr val="accent1">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4762156" y="4690197"/>
        <a:ext cx="217125" cy="260627"/>
      </dsp:txXfrm>
    </dsp:sp>
    <dsp:sp modelId="{21DDCAC7-2CD7-4103-9C63-7B75B6772A0A}">
      <dsp:nvSpPr>
        <dsp:cNvPr id="0" name=""/>
        <dsp:cNvSpPr/>
      </dsp:nvSpPr>
      <dsp:spPr>
        <a:xfrm>
          <a:off x="5218631" y="3917364"/>
          <a:ext cx="1391723" cy="1826202"/>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Regardless of those specifics, the "by the book rule" is to roll your stop loss to the extreme of the most previous bar that moved in your direction. </a:t>
          </a:r>
        </a:p>
      </dsp:txBody>
      <dsp:txXfrm>
        <a:off x="5259393" y="3958126"/>
        <a:ext cx="1310199" cy="174467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2013-04-15T21:13:00Z</dcterms:created>
  <dcterms:modified xsi:type="dcterms:W3CDTF">2013-04-15T21:47:00Z</dcterms:modified>
</cp:coreProperties>
</file>